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428F5" w14:textId="77777777" w:rsidR="00737A99" w:rsidRPr="00CB2915" w:rsidRDefault="00EE20A8" w:rsidP="00CF5685">
      <w:pPr>
        <w:spacing w:after="3960"/>
        <w:jc w:val="right"/>
      </w:pPr>
      <w:r w:rsidRPr="00CB2915">
        <w:rPr>
          <w:noProof/>
        </w:rPr>
        <w:drawing>
          <wp:inline distT="0" distB="0" distL="0" distR="0" wp14:anchorId="5A5370B9" wp14:editId="4E185B8C">
            <wp:extent cx="1800225" cy="561975"/>
            <wp:effectExtent l="0" t="0" r="0" b="0"/>
            <wp:docPr id="1" name="Picture 60"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lbourne Wa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61975"/>
                    </a:xfrm>
                    <a:prstGeom prst="rect">
                      <a:avLst/>
                    </a:prstGeom>
                    <a:noFill/>
                    <a:ln>
                      <a:noFill/>
                    </a:ln>
                  </pic:spPr>
                </pic:pic>
              </a:graphicData>
            </a:graphic>
          </wp:inline>
        </w:drawing>
      </w:r>
      <w:r w:rsidRPr="00CB2915">
        <w:rPr>
          <w:noProof/>
        </w:rPr>
        <w:drawing>
          <wp:inline distT="0" distB="0" distL="0" distR="0" wp14:anchorId="177CEABF" wp14:editId="2E464F8B">
            <wp:extent cx="981075" cy="571500"/>
            <wp:effectExtent l="0" t="0" r="0" b="0"/>
            <wp:docPr id="2" name="Picture 1"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ctoria State Government."/>
                    <pic:cNvPicPr>
                      <a:picLocks noChangeAspect="1" noChangeArrowheads="1"/>
                    </pic:cNvPicPr>
                  </pic:nvPicPr>
                  <pic:blipFill>
                    <a:blip r:embed="rId9">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81075" cy="571500"/>
                    </a:xfrm>
                    <a:prstGeom prst="rect">
                      <a:avLst/>
                    </a:prstGeom>
                    <a:noFill/>
                  </pic:spPr>
                </pic:pic>
              </a:graphicData>
            </a:graphic>
          </wp:inline>
        </w:drawing>
      </w:r>
    </w:p>
    <w:p w14:paraId="5A699DCB" w14:textId="0346DC44" w:rsidR="005F0457" w:rsidRDefault="00573495" w:rsidP="005F0457">
      <w:pPr>
        <w:pStyle w:val="Title"/>
        <w:spacing w:before="120"/>
      </w:pPr>
      <w:r>
        <w:t>Melbourne Water</w:t>
      </w:r>
      <w:r w:rsidR="0083326F">
        <w:br/>
      </w:r>
      <w:r w:rsidR="005F0457">
        <w:t>Price Submission</w:t>
      </w:r>
      <w:r w:rsidR="002F36FE">
        <w:t xml:space="preserve"> 2021</w:t>
      </w:r>
    </w:p>
    <w:p w14:paraId="2BEEDC7F" w14:textId="36C0E708" w:rsidR="005F0457" w:rsidRDefault="002F36FE" w:rsidP="00573495">
      <w:pPr>
        <w:pStyle w:val="Subtitle"/>
      </w:pPr>
      <w:r>
        <w:t>A</w:t>
      </w:r>
      <w:r w:rsidR="005F0457">
        <w:t>t a glance</w:t>
      </w:r>
    </w:p>
    <w:p w14:paraId="35D15705" w14:textId="3B043841" w:rsidR="005F0457" w:rsidRPr="005F0457" w:rsidRDefault="005F0457" w:rsidP="005F0457">
      <w:pPr>
        <w:sectPr w:rsidR="005F0457" w:rsidRPr="005F0457" w:rsidSect="00B37C65">
          <w:footerReference w:type="default" r:id="rId10"/>
          <w:endnotePr>
            <w:numFmt w:val="decimal"/>
          </w:endnotePr>
          <w:type w:val="continuous"/>
          <w:pgSz w:w="11900" w:h="16840"/>
          <w:pgMar w:top="1134" w:right="851" w:bottom="1134" w:left="1418" w:header="709" w:footer="709" w:gutter="0"/>
          <w:cols w:space="708"/>
          <w:docGrid w:linePitch="360"/>
        </w:sectPr>
      </w:pPr>
    </w:p>
    <w:p w14:paraId="711C51EA" w14:textId="77777777" w:rsidR="00891721" w:rsidRPr="00CB2915" w:rsidRDefault="00891721" w:rsidP="00AA1DA2">
      <w:pPr>
        <w:pStyle w:val="TOCHeading"/>
      </w:pPr>
      <w:r w:rsidRPr="00CB2915">
        <w:lastRenderedPageBreak/>
        <w:t>Contents</w:t>
      </w:r>
    </w:p>
    <w:bookmarkStart w:id="0" w:name="_Ref494804858"/>
    <w:bookmarkStart w:id="1" w:name="_Ref494808321"/>
    <w:bookmarkStart w:id="2" w:name="_Ref494809983"/>
    <w:bookmarkStart w:id="3" w:name="_Ref494900601"/>
    <w:p w14:paraId="62F67C05" w14:textId="2FAEFDD3" w:rsidR="00614A3D" w:rsidRDefault="00856D57">
      <w:pPr>
        <w:pStyle w:val="TOC1"/>
        <w:rPr>
          <w:rFonts w:asciiTheme="minorHAnsi" w:eastAsiaTheme="minorEastAsia" w:hAnsiTheme="minorHAnsi" w:cstheme="minorBidi"/>
          <w:sz w:val="22"/>
          <w:szCs w:val="22"/>
        </w:rPr>
      </w:pPr>
      <w:r w:rsidRPr="002F36FE">
        <w:rPr>
          <w:highlight w:val="yellow"/>
        </w:rPr>
        <w:fldChar w:fldCharType="begin"/>
      </w:r>
      <w:r w:rsidRPr="002F36FE">
        <w:rPr>
          <w:highlight w:val="yellow"/>
        </w:rPr>
        <w:instrText xml:space="preserve"> TOC \o "1-2" \h \z \u </w:instrText>
      </w:r>
      <w:r w:rsidRPr="002F36FE">
        <w:rPr>
          <w:highlight w:val="yellow"/>
        </w:rPr>
        <w:fldChar w:fldCharType="separate"/>
      </w:r>
      <w:hyperlink w:anchor="_Toc55905487" w:history="1">
        <w:r w:rsidR="00614A3D" w:rsidRPr="0003058B">
          <w:rPr>
            <w:rStyle w:val="Hyperlink"/>
          </w:rPr>
          <w:t>Aboriginal Acknowledgement</w:t>
        </w:r>
        <w:r w:rsidR="00614A3D">
          <w:rPr>
            <w:webHidden/>
          </w:rPr>
          <w:tab/>
        </w:r>
        <w:r w:rsidR="00614A3D">
          <w:rPr>
            <w:webHidden/>
          </w:rPr>
          <w:fldChar w:fldCharType="begin"/>
        </w:r>
        <w:r w:rsidR="00614A3D">
          <w:rPr>
            <w:webHidden/>
          </w:rPr>
          <w:instrText xml:space="preserve"> PAGEREF _Toc55905487 \h </w:instrText>
        </w:r>
        <w:r w:rsidR="00614A3D">
          <w:rPr>
            <w:webHidden/>
          </w:rPr>
        </w:r>
        <w:r w:rsidR="00614A3D">
          <w:rPr>
            <w:webHidden/>
          </w:rPr>
          <w:fldChar w:fldCharType="separate"/>
        </w:r>
        <w:r w:rsidR="0047594A">
          <w:rPr>
            <w:webHidden/>
          </w:rPr>
          <w:t>2</w:t>
        </w:r>
        <w:r w:rsidR="00614A3D">
          <w:rPr>
            <w:webHidden/>
          </w:rPr>
          <w:fldChar w:fldCharType="end"/>
        </w:r>
      </w:hyperlink>
    </w:p>
    <w:p w14:paraId="2500AD00" w14:textId="757930A5" w:rsidR="00614A3D" w:rsidRDefault="00614A3D">
      <w:pPr>
        <w:pStyle w:val="TOC1"/>
        <w:rPr>
          <w:rFonts w:asciiTheme="minorHAnsi" w:eastAsiaTheme="minorEastAsia" w:hAnsiTheme="minorHAnsi" w:cstheme="minorBidi"/>
          <w:sz w:val="22"/>
          <w:szCs w:val="22"/>
        </w:rPr>
      </w:pPr>
      <w:hyperlink w:anchor="_Toc55905488" w:history="1">
        <w:r w:rsidRPr="0003058B">
          <w:rPr>
            <w:rStyle w:val="Hyperlink"/>
          </w:rPr>
          <w:t>Introduction</w:t>
        </w:r>
        <w:r>
          <w:rPr>
            <w:webHidden/>
          </w:rPr>
          <w:tab/>
        </w:r>
        <w:r>
          <w:rPr>
            <w:webHidden/>
          </w:rPr>
          <w:fldChar w:fldCharType="begin"/>
        </w:r>
        <w:r>
          <w:rPr>
            <w:webHidden/>
          </w:rPr>
          <w:instrText xml:space="preserve"> PAGEREF _Toc55905488 \h </w:instrText>
        </w:r>
        <w:r>
          <w:rPr>
            <w:webHidden/>
          </w:rPr>
        </w:r>
        <w:r>
          <w:rPr>
            <w:webHidden/>
          </w:rPr>
          <w:fldChar w:fldCharType="separate"/>
        </w:r>
        <w:r w:rsidR="0047594A">
          <w:rPr>
            <w:webHidden/>
          </w:rPr>
          <w:t>3</w:t>
        </w:r>
        <w:r>
          <w:rPr>
            <w:webHidden/>
          </w:rPr>
          <w:fldChar w:fldCharType="end"/>
        </w:r>
      </w:hyperlink>
    </w:p>
    <w:p w14:paraId="3D4A6BC1" w14:textId="14759093" w:rsidR="00614A3D" w:rsidRDefault="00614A3D">
      <w:pPr>
        <w:pStyle w:val="TOC1"/>
        <w:rPr>
          <w:rFonts w:asciiTheme="minorHAnsi" w:eastAsiaTheme="minorEastAsia" w:hAnsiTheme="minorHAnsi" w:cstheme="minorBidi"/>
          <w:sz w:val="22"/>
          <w:szCs w:val="22"/>
        </w:rPr>
      </w:pPr>
      <w:hyperlink w:anchor="_Toc55905491" w:history="1">
        <w:r w:rsidRPr="0003058B">
          <w:rPr>
            <w:rStyle w:val="Hyperlink"/>
          </w:rPr>
          <w:t>A submission with a difference</w:t>
        </w:r>
        <w:r>
          <w:rPr>
            <w:webHidden/>
          </w:rPr>
          <w:tab/>
        </w:r>
        <w:r>
          <w:rPr>
            <w:webHidden/>
          </w:rPr>
          <w:fldChar w:fldCharType="begin"/>
        </w:r>
        <w:r>
          <w:rPr>
            <w:webHidden/>
          </w:rPr>
          <w:instrText xml:space="preserve"> PAGEREF _Toc55905491 \h </w:instrText>
        </w:r>
        <w:r>
          <w:rPr>
            <w:webHidden/>
          </w:rPr>
        </w:r>
        <w:r>
          <w:rPr>
            <w:webHidden/>
          </w:rPr>
          <w:fldChar w:fldCharType="separate"/>
        </w:r>
        <w:r w:rsidR="0047594A">
          <w:rPr>
            <w:webHidden/>
          </w:rPr>
          <w:t>4</w:t>
        </w:r>
        <w:r>
          <w:rPr>
            <w:webHidden/>
          </w:rPr>
          <w:fldChar w:fldCharType="end"/>
        </w:r>
      </w:hyperlink>
    </w:p>
    <w:p w14:paraId="378C6484" w14:textId="6CD7AAF2" w:rsidR="00614A3D" w:rsidRDefault="00614A3D">
      <w:pPr>
        <w:pStyle w:val="TOC1"/>
        <w:rPr>
          <w:rFonts w:asciiTheme="minorHAnsi" w:eastAsiaTheme="minorEastAsia" w:hAnsiTheme="minorHAnsi" w:cstheme="minorBidi"/>
          <w:sz w:val="22"/>
          <w:szCs w:val="22"/>
        </w:rPr>
      </w:pPr>
      <w:hyperlink w:anchor="_Toc55905497" w:history="1">
        <w:r w:rsidRPr="0003058B">
          <w:rPr>
            <w:rStyle w:val="Hyperlink"/>
          </w:rPr>
          <w:t>Our services at a glance</w:t>
        </w:r>
        <w:r>
          <w:rPr>
            <w:webHidden/>
          </w:rPr>
          <w:tab/>
        </w:r>
        <w:r>
          <w:rPr>
            <w:webHidden/>
          </w:rPr>
          <w:fldChar w:fldCharType="begin"/>
        </w:r>
        <w:r>
          <w:rPr>
            <w:webHidden/>
          </w:rPr>
          <w:instrText xml:space="preserve"> PAGEREF _Toc55905497 \h </w:instrText>
        </w:r>
        <w:r>
          <w:rPr>
            <w:webHidden/>
          </w:rPr>
        </w:r>
        <w:r>
          <w:rPr>
            <w:webHidden/>
          </w:rPr>
          <w:fldChar w:fldCharType="separate"/>
        </w:r>
        <w:r w:rsidR="0047594A">
          <w:rPr>
            <w:webHidden/>
          </w:rPr>
          <w:t>6</w:t>
        </w:r>
        <w:r>
          <w:rPr>
            <w:webHidden/>
          </w:rPr>
          <w:fldChar w:fldCharType="end"/>
        </w:r>
      </w:hyperlink>
    </w:p>
    <w:p w14:paraId="2D113D63" w14:textId="500DBCD6" w:rsidR="00614A3D" w:rsidRDefault="00614A3D">
      <w:pPr>
        <w:pStyle w:val="TOC1"/>
        <w:rPr>
          <w:rFonts w:asciiTheme="minorHAnsi" w:eastAsiaTheme="minorEastAsia" w:hAnsiTheme="minorHAnsi" w:cstheme="minorBidi"/>
          <w:sz w:val="22"/>
          <w:szCs w:val="22"/>
        </w:rPr>
      </w:pPr>
      <w:hyperlink w:anchor="_Toc55905499" w:history="1">
        <w:r w:rsidRPr="0003058B">
          <w:rPr>
            <w:rStyle w:val="Hyperlink"/>
          </w:rPr>
          <w:t>Melbourne’s challenges are our challenges</w:t>
        </w:r>
        <w:r>
          <w:rPr>
            <w:webHidden/>
          </w:rPr>
          <w:tab/>
        </w:r>
        <w:r>
          <w:rPr>
            <w:webHidden/>
          </w:rPr>
          <w:fldChar w:fldCharType="begin"/>
        </w:r>
        <w:r>
          <w:rPr>
            <w:webHidden/>
          </w:rPr>
          <w:instrText xml:space="preserve"> PAGEREF _Toc55905499 \h </w:instrText>
        </w:r>
        <w:r>
          <w:rPr>
            <w:webHidden/>
          </w:rPr>
        </w:r>
        <w:r>
          <w:rPr>
            <w:webHidden/>
          </w:rPr>
          <w:fldChar w:fldCharType="separate"/>
        </w:r>
        <w:r w:rsidR="0047594A">
          <w:rPr>
            <w:webHidden/>
          </w:rPr>
          <w:t>7</w:t>
        </w:r>
        <w:r>
          <w:rPr>
            <w:webHidden/>
          </w:rPr>
          <w:fldChar w:fldCharType="end"/>
        </w:r>
      </w:hyperlink>
    </w:p>
    <w:p w14:paraId="61F4FA4E" w14:textId="65FF96EA" w:rsidR="00614A3D" w:rsidRDefault="00614A3D">
      <w:pPr>
        <w:pStyle w:val="TOC1"/>
        <w:rPr>
          <w:rFonts w:asciiTheme="minorHAnsi" w:eastAsiaTheme="minorEastAsia" w:hAnsiTheme="minorHAnsi" w:cstheme="minorBidi"/>
          <w:sz w:val="22"/>
          <w:szCs w:val="22"/>
        </w:rPr>
      </w:pPr>
      <w:hyperlink w:anchor="_Toc55905504" w:history="1">
        <w:r w:rsidRPr="0003058B">
          <w:rPr>
            <w:rStyle w:val="Hyperlink"/>
          </w:rPr>
          <w:t>Listening to our customers and community</w:t>
        </w:r>
        <w:r>
          <w:rPr>
            <w:webHidden/>
          </w:rPr>
          <w:tab/>
        </w:r>
        <w:r>
          <w:rPr>
            <w:webHidden/>
          </w:rPr>
          <w:fldChar w:fldCharType="begin"/>
        </w:r>
        <w:r>
          <w:rPr>
            <w:webHidden/>
          </w:rPr>
          <w:instrText xml:space="preserve"> PAGEREF _Toc55905504 \h </w:instrText>
        </w:r>
        <w:r>
          <w:rPr>
            <w:webHidden/>
          </w:rPr>
        </w:r>
        <w:r>
          <w:rPr>
            <w:webHidden/>
          </w:rPr>
          <w:fldChar w:fldCharType="separate"/>
        </w:r>
        <w:r w:rsidR="0047594A">
          <w:rPr>
            <w:webHidden/>
          </w:rPr>
          <w:t>9</w:t>
        </w:r>
        <w:r>
          <w:rPr>
            <w:webHidden/>
          </w:rPr>
          <w:fldChar w:fldCharType="end"/>
        </w:r>
      </w:hyperlink>
    </w:p>
    <w:p w14:paraId="56764499" w14:textId="4BCA26D6" w:rsidR="00614A3D" w:rsidRDefault="00614A3D">
      <w:pPr>
        <w:pStyle w:val="TOC1"/>
        <w:rPr>
          <w:rFonts w:asciiTheme="minorHAnsi" w:eastAsiaTheme="minorEastAsia" w:hAnsiTheme="minorHAnsi" w:cstheme="minorBidi"/>
          <w:sz w:val="22"/>
          <w:szCs w:val="22"/>
        </w:rPr>
      </w:pPr>
      <w:hyperlink w:anchor="_Toc55905507" w:history="1">
        <w:r w:rsidRPr="0003058B">
          <w:rPr>
            <w:rStyle w:val="Hyperlink"/>
          </w:rPr>
          <w:t>Our commitment to you</w:t>
        </w:r>
        <w:r>
          <w:rPr>
            <w:webHidden/>
          </w:rPr>
          <w:tab/>
        </w:r>
        <w:r>
          <w:rPr>
            <w:webHidden/>
          </w:rPr>
          <w:fldChar w:fldCharType="begin"/>
        </w:r>
        <w:r>
          <w:rPr>
            <w:webHidden/>
          </w:rPr>
          <w:instrText xml:space="preserve"> PAGEREF _Toc55905507 \h </w:instrText>
        </w:r>
        <w:r>
          <w:rPr>
            <w:webHidden/>
          </w:rPr>
        </w:r>
        <w:r>
          <w:rPr>
            <w:webHidden/>
          </w:rPr>
          <w:fldChar w:fldCharType="separate"/>
        </w:r>
        <w:r w:rsidR="0047594A">
          <w:rPr>
            <w:webHidden/>
          </w:rPr>
          <w:t>11</w:t>
        </w:r>
        <w:r>
          <w:rPr>
            <w:webHidden/>
          </w:rPr>
          <w:fldChar w:fldCharType="end"/>
        </w:r>
      </w:hyperlink>
    </w:p>
    <w:p w14:paraId="12329427" w14:textId="410224F2" w:rsidR="00614A3D" w:rsidRDefault="00614A3D">
      <w:pPr>
        <w:pStyle w:val="TOC2"/>
        <w:rPr>
          <w:rFonts w:asciiTheme="minorHAnsi" w:eastAsiaTheme="minorEastAsia" w:hAnsiTheme="minorHAnsi" w:cstheme="minorBidi"/>
          <w:noProof/>
          <w:color w:val="auto"/>
          <w:sz w:val="22"/>
          <w:szCs w:val="22"/>
        </w:rPr>
      </w:pPr>
      <w:hyperlink w:anchor="_Toc55905508" w:history="1">
        <w:r w:rsidRPr="0003058B">
          <w:rPr>
            <w:rStyle w:val="Hyperlink"/>
            <w:noProof/>
          </w:rPr>
          <w:t>Access to safe and reliable water and sewerage services</w:t>
        </w:r>
        <w:r>
          <w:rPr>
            <w:noProof/>
            <w:webHidden/>
          </w:rPr>
          <w:tab/>
        </w:r>
        <w:r>
          <w:rPr>
            <w:noProof/>
            <w:webHidden/>
          </w:rPr>
          <w:fldChar w:fldCharType="begin"/>
        </w:r>
        <w:r>
          <w:rPr>
            <w:noProof/>
            <w:webHidden/>
          </w:rPr>
          <w:instrText xml:space="preserve"> PAGEREF _Toc55905508 \h </w:instrText>
        </w:r>
        <w:r>
          <w:rPr>
            <w:noProof/>
            <w:webHidden/>
          </w:rPr>
        </w:r>
        <w:r>
          <w:rPr>
            <w:noProof/>
            <w:webHidden/>
          </w:rPr>
          <w:fldChar w:fldCharType="separate"/>
        </w:r>
        <w:r w:rsidR="0047594A">
          <w:rPr>
            <w:noProof/>
            <w:webHidden/>
          </w:rPr>
          <w:t>11</w:t>
        </w:r>
        <w:r>
          <w:rPr>
            <w:noProof/>
            <w:webHidden/>
          </w:rPr>
          <w:fldChar w:fldCharType="end"/>
        </w:r>
      </w:hyperlink>
    </w:p>
    <w:p w14:paraId="396A453B" w14:textId="409D35C7" w:rsidR="00614A3D" w:rsidRDefault="00614A3D">
      <w:pPr>
        <w:pStyle w:val="TOC2"/>
        <w:rPr>
          <w:rFonts w:asciiTheme="minorHAnsi" w:eastAsiaTheme="minorEastAsia" w:hAnsiTheme="minorHAnsi" w:cstheme="minorBidi"/>
          <w:noProof/>
          <w:color w:val="auto"/>
          <w:sz w:val="22"/>
          <w:szCs w:val="22"/>
        </w:rPr>
      </w:pPr>
      <w:hyperlink w:anchor="_Toc55905509" w:history="1">
        <w:r w:rsidRPr="0003058B">
          <w:rPr>
            <w:rStyle w:val="Hyperlink"/>
            <w:noProof/>
          </w:rPr>
          <w:t>Melbourne’s environment, rivers, creeks and bays are protected and Melbourne Water’s greenhouse gas emissions are minimised</w:t>
        </w:r>
        <w:r>
          <w:rPr>
            <w:noProof/>
            <w:webHidden/>
          </w:rPr>
          <w:tab/>
        </w:r>
        <w:r>
          <w:rPr>
            <w:noProof/>
            <w:webHidden/>
          </w:rPr>
          <w:fldChar w:fldCharType="begin"/>
        </w:r>
        <w:r>
          <w:rPr>
            <w:noProof/>
            <w:webHidden/>
          </w:rPr>
          <w:instrText xml:space="preserve"> PAGEREF _Toc55905509 \h </w:instrText>
        </w:r>
        <w:r>
          <w:rPr>
            <w:noProof/>
            <w:webHidden/>
          </w:rPr>
        </w:r>
        <w:r>
          <w:rPr>
            <w:noProof/>
            <w:webHidden/>
          </w:rPr>
          <w:fldChar w:fldCharType="separate"/>
        </w:r>
        <w:r w:rsidR="0047594A">
          <w:rPr>
            <w:noProof/>
            <w:webHidden/>
          </w:rPr>
          <w:t>12</w:t>
        </w:r>
        <w:r>
          <w:rPr>
            <w:noProof/>
            <w:webHidden/>
          </w:rPr>
          <w:fldChar w:fldCharType="end"/>
        </w:r>
      </w:hyperlink>
    </w:p>
    <w:p w14:paraId="3CEEB097" w14:textId="26595B23" w:rsidR="00614A3D" w:rsidRDefault="00614A3D">
      <w:pPr>
        <w:pStyle w:val="TOC2"/>
        <w:rPr>
          <w:rFonts w:asciiTheme="minorHAnsi" w:eastAsiaTheme="minorEastAsia" w:hAnsiTheme="minorHAnsi" w:cstheme="minorBidi"/>
          <w:noProof/>
          <w:color w:val="auto"/>
          <w:sz w:val="22"/>
          <w:szCs w:val="22"/>
        </w:rPr>
      </w:pPr>
      <w:hyperlink w:anchor="_Toc55905510" w:history="1">
        <w:r w:rsidRPr="0003058B">
          <w:rPr>
            <w:rStyle w:val="Hyperlink"/>
            <w:noProof/>
          </w:rPr>
          <w:t>Melbourne remains liveable as it deals with the impacts of climate change and population growth</w:t>
        </w:r>
        <w:r>
          <w:rPr>
            <w:noProof/>
            <w:webHidden/>
          </w:rPr>
          <w:tab/>
        </w:r>
        <w:r>
          <w:rPr>
            <w:noProof/>
            <w:webHidden/>
          </w:rPr>
          <w:fldChar w:fldCharType="begin"/>
        </w:r>
        <w:r>
          <w:rPr>
            <w:noProof/>
            <w:webHidden/>
          </w:rPr>
          <w:instrText xml:space="preserve"> PAGEREF _Toc55905510 \h </w:instrText>
        </w:r>
        <w:r>
          <w:rPr>
            <w:noProof/>
            <w:webHidden/>
          </w:rPr>
        </w:r>
        <w:r>
          <w:rPr>
            <w:noProof/>
            <w:webHidden/>
          </w:rPr>
          <w:fldChar w:fldCharType="separate"/>
        </w:r>
        <w:r w:rsidR="0047594A">
          <w:rPr>
            <w:noProof/>
            <w:webHidden/>
          </w:rPr>
          <w:t>13</w:t>
        </w:r>
        <w:r>
          <w:rPr>
            <w:noProof/>
            <w:webHidden/>
          </w:rPr>
          <w:fldChar w:fldCharType="end"/>
        </w:r>
      </w:hyperlink>
    </w:p>
    <w:p w14:paraId="2BF967A0" w14:textId="165D89A3" w:rsidR="00614A3D" w:rsidRDefault="00614A3D">
      <w:pPr>
        <w:pStyle w:val="TOC2"/>
        <w:rPr>
          <w:rFonts w:asciiTheme="minorHAnsi" w:eastAsiaTheme="minorEastAsia" w:hAnsiTheme="minorHAnsi" w:cstheme="minorBidi"/>
          <w:noProof/>
          <w:color w:val="auto"/>
          <w:sz w:val="22"/>
          <w:szCs w:val="22"/>
        </w:rPr>
      </w:pPr>
      <w:hyperlink w:anchor="_Toc55905511" w:history="1">
        <w:r w:rsidRPr="0003058B">
          <w:rPr>
            <w:rStyle w:val="Hyperlink"/>
            <w:noProof/>
          </w:rPr>
          <w:t>Melburnians are empowered to support the design and delivery of service outcomes</w:t>
        </w:r>
        <w:r>
          <w:rPr>
            <w:noProof/>
            <w:webHidden/>
          </w:rPr>
          <w:tab/>
        </w:r>
        <w:r>
          <w:rPr>
            <w:noProof/>
            <w:webHidden/>
          </w:rPr>
          <w:fldChar w:fldCharType="begin"/>
        </w:r>
        <w:r>
          <w:rPr>
            <w:noProof/>
            <w:webHidden/>
          </w:rPr>
          <w:instrText xml:space="preserve"> PAGEREF _Toc55905511 \h </w:instrText>
        </w:r>
        <w:r>
          <w:rPr>
            <w:noProof/>
            <w:webHidden/>
          </w:rPr>
        </w:r>
        <w:r>
          <w:rPr>
            <w:noProof/>
            <w:webHidden/>
          </w:rPr>
          <w:fldChar w:fldCharType="separate"/>
        </w:r>
        <w:r w:rsidR="0047594A">
          <w:rPr>
            <w:noProof/>
            <w:webHidden/>
          </w:rPr>
          <w:t>14</w:t>
        </w:r>
        <w:r>
          <w:rPr>
            <w:noProof/>
            <w:webHidden/>
          </w:rPr>
          <w:fldChar w:fldCharType="end"/>
        </w:r>
      </w:hyperlink>
    </w:p>
    <w:p w14:paraId="1A0925A4" w14:textId="4F2A66C6" w:rsidR="00614A3D" w:rsidRDefault="00614A3D">
      <w:pPr>
        <w:pStyle w:val="TOC2"/>
        <w:rPr>
          <w:rFonts w:asciiTheme="minorHAnsi" w:eastAsiaTheme="minorEastAsia" w:hAnsiTheme="minorHAnsi" w:cstheme="minorBidi"/>
          <w:noProof/>
          <w:color w:val="auto"/>
          <w:sz w:val="22"/>
          <w:szCs w:val="22"/>
        </w:rPr>
      </w:pPr>
      <w:hyperlink w:anchor="_Toc55905512" w:history="1">
        <w:r w:rsidRPr="0003058B">
          <w:rPr>
            <w:rStyle w:val="Hyperlink"/>
            <w:noProof/>
          </w:rPr>
          <w:t>Easy, respectful, responsive and transparent customer service</w:t>
        </w:r>
        <w:r>
          <w:rPr>
            <w:noProof/>
            <w:webHidden/>
          </w:rPr>
          <w:tab/>
        </w:r>
        <w:r>
          <w:rPr>
            <w:noProof/>
            <w:webHidden/>
          </w:rPr>
          <w:fldChar w:fldCharType="begin"/>
        </w:r>
        <w:r>
          <w:rPr>
            <w:noProof/>
            <w:webHidden/>
          </w:rPr>
          <w:instrText xml:space="preserve"> PAGEREF _Toc55905512 \h </w:instrText>
        </w:r>
        <w:r>
          <w:rPr>
            <w:noProof/>
            <w:webHidden/>
          </w:rPr>
        </w:r>
        <w:r>
          <w:rPr>
            <w:noProof/>
            <w:webHidden/>
          </w:rPr>
          <w:fldChar w:fldCharType="separate"/>
        </w:r>
        <w:r w:rsidR="0047594A">
          <w:rPr>
            <w:noProof/>
            <w:webHidden/>
          </w:rPr>
          <w:t>15</w:t>
        </w:r>
        <w:r>
          <w:rPr>
            <w:noProof/>
            <w:webHidden/>
          </w:rPr>
          <w:fldChar w:fldCharType="end"/>
        </w:r>
      </w:hyperlink>
    </w:p>
    <w:p w14:paraId="6BF5C71D" w14:textId="59E15381" w:rsidR="00614A3D" w:rsidRDefault="00614A3D">
      <w:pPr>
        <w:pStyle w:val="TOC2"/>
        <w:rPr>
          <w:rFonts w:asciiTheme="minorHAnsi" w:eastAsiaTheme="minorEastAsia" w:hAnsiTheme="minorHAnsi" w:cstheme="minorBidi"/>
          <w:noProof/>
          <w:color w:val="auto"/>
          <w:sz w:val="22"/>
          <w:szCs w:val="22"/>
        </w:rPr>
      </w:pPr>
      <w:hyperlink w:anchor="_Toc55905513" w:history="1">
        <w:r w:rsidRPr="0003058B">
          <w:rPr>
            <w:rStyle w:val="Hyperlink"/>
            <w:noProof/>
          </w:rPr>
          <w:t>Bills kept as low as possible</w:t>
        </w:r>
        <w:r>
          <w:rPr>
            <w:noProof/>
            <w:webHidden/>
          </w:rPr>
          <w:tab/>
        </w:r>
        <w:r>
          <w:rPr>
            <w:noProof/>
            <w:webHidden/>
          </w:rPr>
          <w:fldChar w:fldCharType="begin"/>
        </w:r>
        <w:r>
          <w:rPr>
            <w:noProof/>
            <w:webHidden/>
          </w:rPr>
          <w:instrText xml:space="preserve"> PAGEREF _Toc55905513 \h </w:instrText>
        </w:r>
        <w:r>
          <w:rPr>
            <w:noProof/>
            <w:webHidden/>
          </w:rPr>
        </w:r>
        <w:r>
          <w:rPr>
            <w:noProof/>
            <w:webHidden/>
          </w:rPr>
          <w:fldChar w:fldCharType="separate"/>
        </w:r>
        <w:r w:rsidR="0047594A">
          <w:rPr>
            <w:noProof/>
            <w:webHidden/>
          </w:rPr>
          <w:t>16</w:t>
        </w:r>
        <w:r>
          <w:rPr>
            <w:noProof/>
            <w:webHidden/>
          </w:rPr>
          <w:fldChar w:fldCharType="end"/>
        </w:r>
      </w:hyperlink>
    </w:p>
    <w:p w14:paraId="4EE488C3" w14:textId="16480748" w:rsidR="00614A3D" w:rsidRDefault="00614A3D">
      <w:pPr>
        <w:pStyle w:val="TOC1"/>
        <w:rPr>
          <w:rFonts w:asciiTheme="minorHAnsi" w:eastAsiaTheme="minorEastAsia" w:hAnsiTheme="minorHAnsi" w:cstheme="minorBidi"/>
          <w:sz w:val="22"/>
          <w:szCs w:val="22"/>
        </w:rPr>
      </w:pPr>
      <w:hyperlink w:anchor="_Toc55905514" w:history="1">
        <w:r w:rsidRPr="0003058B">
          <w:rPr>
            <w:rStyle w:val="Hyperlink"/>
          </w:rPr>
          <w:t xml:space="preserve">Proposed prices </w:t>
        </w:r>
        <w:r w:rsidRPr="0003058B">
          <w:rPr>
            <w:rStyle w:val="Hyperlink"/>
            <w:rFonts w:eastAsia="Cambria"/>
          </w:rPr>
          <w:t>for 2021 to 2026</w:t>
        </w:r>
        <w:r>
          <w:rPr>
            <w:webHidden/>
          </w:rPr>
          <w:tab/>
        </w:r>
        <w:r>
          <w:rPr>
            <w:webHidden/>
          </w:rPr>
          <w:fldChar w:fldCharType="begin"/>
        </w:r>
        <w:r>
          <w:rPr>
            <w:webHidden/>
          </w:rPr>
          <w:instrText xml:space="preserve"> PAGEREF _Toc55905514 \h </w:instrText>
        </w:r>
        <w:r>
          <w:rPr>
            <w:webHidden/>
          </w:rPr>
        </w:r>
        <w:r>
          <w:rPr>
            <w:webHidden/>
          </w:rPr>
          <w:fldChar w:fldCharType="separate"/>
        </w:r>
        <w:r w:rsidR="0047594A">
          <w:rPr>
            <w:webHidden/>
          </w:rPr>
          <w:t>18</w:t>
        </w:r>
        <w:r>
          <w:rPr>
            <w:webHidden/>
          </w:rPr>
          <w:fldChar w:fldCharType="end"/>
        </w:r>
      </w:hyperlink>
    </w:p>
    <w:p w14:paraId="305F89F7" w14:textId="54081F9E" w:rsidR="00614A3D" w:rsidRDefault="00614A3D">
      <w:pPr>
        <w:pStyle w:val="TOC2"/>
        <w:rPr>
          <w:rFonts w:asciiTheme="minorHAnsi" w:eastAsiaTheme="minorEastAsia" w:hAnsiTheme="minorHAnsi" w:cstheme="minorBidi"/>
          <w:noProof/>
          <w:color w:val="auto"/>
          <w:sz w:val="22"/>
          <w:szCs w:val="22"/>
        </w:rPr>
      </w:pPr>
      <w:hyperlink w:anchor="_Toc55905515" w:history="1">
        <w:r w:rsidRPr="0003058B">
          <w:rPr>
            <w:rStyle w:val="Hyperlink"/>
            <w:noProof/>
          </w:rPr>
          <w:t>What this means for your bill</w:t>
        </w:r>
        <w:r>
          <w:rPr>
            <w:noProof/>
            <w:webHidden/>
          </w:rPr>
          <w:tab/>
        </w:r>
        <w:r>
          <w:rPr>
            <w:noProof/>
            <w:webHidden/>
          </w:rPr>
          <w:fldChar w:fldCharType="begin"/>
        </w:r>
        <w:r>
          <w:rPr>
            <w:noProof/>
            <w:webHidden/>
          </w:rPr>
          <w:instrText xml:space="preserve"> PAGEREF _Toc55905515 \h </w:instrText>
        </w:r>
        <w:r>
          <w:rPr>
            <w:noProof/>
            <w:webHidden/>
          </w:rPr>
        </w:r>
        <w:r>
          <w:rPr>
            <w:noProof/>
            <w:webHidden/>
          </w:rPr>
          <w:fldChar w:fldCharType="separate"/>
        </w:r>
        <w:r w:rsidR="0047594A">
          <w:rPr>
            <w:noProof/>
            <w:webHidden/>
          </w:rPr>
          <w:t>18</w:t>
        </w:r>
        <w:r>
          <w:rPr>
            <w:noProof/>
            <w:webHidden/>
          </w:rPr>
          <w:fldChar w:fldCharType="end"/>
        </w:r>
      </w:hyperlink>
    </w:p>
    <w:p w14:paraId="5C3C9C80" w14:textId="7F04282E" w:rsidR="00614A3D" w:rsidRDefault="00614A3D">
      <w:pPr>
        <w:pStyle w:val="TOC1"/>
        <w:rPr>
          <w:rFonts w:asciiTheme="minorHAnsi" w:eastAsiaTheme="minorEastAsia" w:hAnsiTheme="minorHAnsi" w:cstheme="minorBidi"/>
          <w:sz w:val="22"/>
          <w:szCs w:val="22"/>
        </w:rPr>
      </w:pPr>
      <w:hyperlink w:anchor="_Toc55905516" w:history="1">
        <w:r w:rsidRPr="0003058B">
          <w:rPr>
            <w:rStyle w:val="Hyperlink"/>
          </w:rPr>
          <w:t>Reporting on our performance</w:t>
        </w:r>
        <w:r>
          <w:rPr>
            <w:webHidden/>
          </w:rPr>
          <w:tab/>
        </w:r>
        <w:r>
          <w:rPr>
            <w:webHidden/>
          </w:rPr>
          <w:fldChar w:fldCharType="begin"/>
        </w:r>
        <w:r>
          <w:rPr>
            <w:webHidden/>
          </w:rPr>
          <w:instrText xml:space="preserve"> PAGEREF _Toc55905516 \h </w:instrText>
        </w:r>
        <w:r>
          <w:rPr>
            <w:webHidden/>
          </w:rPr>
        </w:r>
        <w:r>
          <w:rPr>
            <w:webHidden/>
          </w:rPr>
          <w:fldChar w:fldCharType="separate"/>
        </w:r>
        <w:r w:rsidR="0047594A">
          <w:rPr>
            <w:webHidden/>
          </w:rPr>
          <w:t>21</w:t>
        </w:r>
        <w:r>
          <w:rPr>
            <w:webHidden/>
          </w:rPr>
          <w:fldChar w:fldCharType="end"/>
        </w:r>
      </w:hyperlink>
    </w:p>
    <w:p w14:paraId="12C7DDD7" w14:textId="66F1BD42" w:rsidR="001231D2" w:rsidRDefault="00856D57" w:rsidP="00AA1DA2">
      <w:pPr>
        <w:pStyle w:val="BodyText"/>
        <w:rPr>
          <w:rFonts w:ascii="Arial Bold" w:eastAsia="MS Mincho" w:hAnsi="Arial Bold"/>
        </w:rPr>
      </w:pPr>
      <w:r w:rsidRPr="002F36FE">
        <w:rPr>
          <w:rFonts w:ascii="Arial Bold" w:eastAsia="MS Mincho" w:hAnsi="Arial Bold"/>
          <w:highlight w:val="yellow"/>
        </w:rPr>
        <w:fldChar w:fldCharType="end"/>
      </w:r>
    </w:p>
    <w:p w14:paraId="72827A76" w14:textId="77777777" w:rsidR="002F36FE" w:rsidRPr="0047594A" w:rsidRDefault="002F36FE" w:rsidP="0047594A">
      <w:pPr>
        <w:pStyle w:val="BodyText"/>
        <w:rPr>
          <w:rStyle w:val="Bold"/>
        </w:rPr>
      </w:pPr>
      <w:bookmarkStart w:id="4" w:name="_Toc53147072"/>
      <w:bookmarkStart w:id="5" w:name="_Toc55905487"/>
      <w:r w:rsidRPr="0047594A">
        <w:rPr>
          <w:rStyle w:val="Bold"/>
        </w:rPr>
        <w:t>Aboriginal Acknowledgement</w:t>
      </w:r>
      <w:bookmarkEnd w:id="4"/>
      <w:bookmarkEnd w:id="5"/>
    </w:p>
    <w:p w14:paraId="12A0F7EF" w14:textId="77777777" w:rsidR="002F36FE" w:rsidRDefault="002F36FE" w:rsidP="002F36FE">
      <w:pPr>
        <w:pStyle w:val="BodyText"/>
      </w:pPr>
      <w:r>
        <w:t>Melbourne Water respectfully acknowledges Aboriginal and Torres Strait Islander peoples as the Traditional Owners and custodians of the land and water on which all Australians rely. We pay our respects to Wurundjeri Woi wurrung, Bunurong and Wadawurrung, their Elders past, present and future, as Traditional Owners and the custodians of the land and water on which we rely and operate.</w:t>
      </w:r>
    </w:p>
    <w:p w14:paraId="445447FE" w14:textId="77777777" w:rsidR="002F36FE" w:rsidRDefault="002F36FE" w:rsidP="002F36FE">
      <w:pPr>
        <w:pStyle w:val="BodyText"/>
      </w:pPr>
      <w:r>
        <w:t>We acknowledge and respect the continued cultural, social, economic and spiritual connections of all Aboriginal Victorians. We also acknowledge the broader Aboriginal and Torres Strait Islander community and their connections with lands and waters, and recognise and value their inherent responsibility to care for and protect them for thousands of generations.</w:t>
      </w:r>
    </w:p>
    <w:p w14:paraId="41BF48D7" w14:textId="44C23F0F" w:rsidR="002F36FE" w:rsidRPr="002F36FE" w:rsidRDefault="002F36FE" w:rsidP="00AA1DA2">
      <w:pPr>
        <w:pStyle w:val="BodyText"/>
      </w:pPr>
      <w:r>
        <w:t>Melbourne Water acknowledges Aboriginal Victorians as Traditional Owners and, in the spirit of reconciliation, we remain committed to developing partnerships with Traditional Owners to ensure meaningful, ongoing contributions to the future of land and water management.</w:t>
      </w:r>
    </w:p>
    <w:p w14:paraId="79ADFA82" w14:textId="34C4E3F4" w:rsidR="002F36FE" w:rsidRDefault="002F36FE" w:rsidP="002F36FE">
      <w:pPr>
        <w:pStyle w:val="Heading1"/>
      </w:pPr>
      <w:bookmarkStart w:id="6" w:name="_Toc55905488"/>
      <w:r>
        <w:lastRenderedPageBreak/>
        <w:t>Introduction</w:t>
      </w:r>
      <w:bookmarkEnd w:id="6"/>
    </w:p>
    <w:p w14:paraId="556C64C3" w14:textId="55F02AFC" w:rsidR="002F36FE" w:rsidRPr="002F36FE" w:rsidRDefault="002F36FE" w:rsidP="002F36FE">
      <w:pPr>
        <w:pStyle w:val="BodyText"/>
      </w:pPr>
      <w:r w:rsidRPr="002F36FE">
        <w:t>Melbourne is renowned as one of the world’s most liveable cities. Water is essential to this: sustaining the natural environment we live in, the communities we value, and the economy we depend on.</w:t>
      </w:r>
    </w:p>
    <w:p w14:paraId="3A627AD6" w14:textId="77777777" w:rsidR="002F36FE" w:rsidRPr="002F36FE" w:rsidRDefault="002F36FE" w:rsidP="002F36FE">
      <w:pPr>
        <w:pStyle w:val="BodyText"/>
      </w:pPr>
      <w:r w:rsidRPr="002F36FE">
        <w:t xml:space="preserve">Melbourne Water is proud of our role in </w:t>
      </w:r>
      <w:r w:rsidRPr="00931A31">
        <w:rPr>
          <w:rStyle w:val="Bold"/>
        </w:rPr>
        <w:t>enhancing life and liveability</w:t>
      </w:r>
      <w:r w:rsidRPr="002F36FE">
        <w:t xml:space="preserve"> across the Greater Melbourne region: working with others to provide water, sewerage, drainage and healthy waterways for five million people. Our aim, through our Price Submission, is to continue delivering these highly-valued essential services – in a transparent, accessible way that places customers front and centre.</w:t>
      </w:r>
    </w:p>
    <w:p w14:paraId="6F0F3017" w14:textId="77777777" w:rsidR="002F36FE" w:rsidRPr="002F36FE" w:rsidRDefault="002F36FE" w:rsidP="002F36FE">
      <w:pPr>
        <w:pStyle w:val="Heading2"/>
      </w:pPr>
      <w:bookmarkStart w:id="7" w:name="_Toc52456165"/>
      <w:bookmarkStart w:id="8" w:name="_Toc55905361"/>
      <w:bookmarkStart w:id="9" w:name="_Toc55905489"/>
      <w:r w:rsidRPr="002F36FE">
        <w:t>Our Price Submission 2021</w:t>
      </w:r>
      <w:bookmarkEnd w:id="7"/>
      <w:bookmarkEnd w:id="8"/>
      <w:bookmarkEnd w:id="9"/>
    </w:p>
    <w:p w14:paraId="34B4E615" w14:textId="77777777" w:rsidR="002F36FE" w:rsidRPr="002F36FE" w:rsidRDefault="002F36FE" w:rsidP="002F36FE">
      <w:pPr>
        <w:pStyle w:val="BodyText"/>
        <w:rPr>
          <w:u w:val="single"/>
        </w:rPr>
      </w:pPr>
      <w:r w:rsidRPr="002F36FE">
        <w:t>Prices for water and other essential services must be approved by the Essential Services Commission, Victoria’s independent regulator. To inform their decision, Melbourne Water prepares a Price Submission detailing our proposed service standards, expenditure and prices for a five-year period.</w:t>
      </w:r>
    </w:p>
    <w:p w14:paraId="1AEB73B2" w14:textId="77777777" w:rsidR="002F36FE" w:rsidRPr="002F36FE" w:rsidRDefault="002F36FE" w:rsidP="002F36FE">
      <w:pPr>
        <w:pStyle w:val="BodyText"/>
      </w:pPr>
      <w:r w:rsidRPr="002F36FE">
        <w:t>This document summarises the key customer outcomes we intend to deliver for 2021–26, and the actions we’ll take to achieve them. It also includes how we’ll measure and report on our performance, so customers know we’re delivering on our commitments.</w:t>
      </w:r>
    </w:p>
    <w:p w14:paraId="55C232C1" w14:textId="77777777" w:rsidR="002F36FE" w:rsidRPr="002F36FE" w:rsidRDefault="002F36FE" w:rsidP="002F36FE">
      <w:pPr>
        <w:pStyle w:val="Heading2"/>
      </w:pPr>
      <w:bookmarkStart w:id="10" w:name="_Toc52456167"/>
      <w:bookmarkStart w:id="11" w:name="_Toc55905362"/>
      <w:bookmarkStart w:id="12" w:name="_Toc55905490"/>
      <w:r w:rsidRPr="002F36FE">
        <w:t>The Essential Services Commission’s review</w:t>
      </w:r>
      <w:bookmarkEnd w:id="10"/>
      <w:bookmarkEnd w:id="11"/>
      <w:bookmarkEnd w:id="12"/>
    </w:p>
    <w:p w14:paraId="1621EDB5" w14:textId="77777777" w:rsidR="002F36FE" w:rsidRPr="002F36FE" w:rsidRDefault="002F36FE" w:rsidP="002F36FE">
      <w:pPr>
        <w:pStyle w:val="BodyText"/>
      </w:pPr>
      <w:r w:rsidRPr="002F36FE">
        <w:t>Melbourne Water lodged our Price Submission 2021 with the Essential Services Commission on 9 November 2020.</w:t>
      </w:r>
    </w:p>
    <w:p w14:paraId="2EA8F932" w14:textId="77777777" w:rsidR="002F36FE" w:rsidRPr="002F36FE" w:rsidRDefault="002F36FE" w:rsidP="002F36FE">
      <w:pPr>
        <w:pStyle w:val="BodyText"/>
      </w:pPr>
      <w:r w:rsidRPr="002F36FE">
        <w:t>The Commission will review our submission against the relevant legislation and guidance it has previously provided us, before making a decision on the service standards and prices we can put in place from 1 July 2021.</w:t>
      </w:r>
    </w:p>
    <w:p w14:paraId="2D2108FA" w14:textId="00966AE9" w:rsidR="00A05E2F" w:rsidRDefault="002F36FE" w:rsidP="00AA1DA2">
      <w:pPr>
        <w:pStyle w:val="BodyText"/>
      </w:pPr>
      <w:r w:rsidRPr="002F36FE">
        <w:t xml:space="preserve">You can find out more on the </w:t>
      </w:r>
      <w:hyperlink r:id="rId11" w:history="1">
        <w:r>
          <w:rPr>
            <w:rStyle w:val="Hyperlink"/>
          </w:rPr>
          <w:t>Essential Services Commission's website</w:t>
        </w:r>
      </w:hyperlink>
      <w:r w:rsidR="005320C1">
        <w:rPr>
          <w:rStyle w:val="FootnoteReference"/>
        </w:rPr>
        <w:footnoteReference w:id="1"/>
      </w:r>
      <w:r w:rsidR="00A05E2F" w:rsidRPr="00BC6B49">
        <w:t>.</w:t>
      </w:r>
    </w:p>
    <w:p w14:paraId="5AD813C6" w14:textId="77777777" w:rsidR="002F36FE" w:rsidRPr="002F36FE" w:rsidRDefault="002F36FE" w:rsidP="002F36FE">
      <w:pPr>
        <w:pStyle w:val="Heading1"/>
      </w:pPr>
      <w:bookmarkStart w:id="13" w:name="_Toc52456168"/>
      <w:bookmarkStart w:id="14" w:name="_Toc55905491"/>
      <w:r w:rsidRPr="002F36FE">
        <w:lastRenderedPageBreak/>
        <w:t>A submission with a difference</w:t>
      </w:r>
      <w:bookmarkEnd w:id="13"/>
      <w:bookmarkEnd w:id="14"/>
    </w:p>
    <w:p w14:paraId="514A84C1" w14:textId="77777777" w:rsidR="002F36FE" w:rsidRPr="002F36FE" w:rsidRDefault="002F36FE" w:rsidP="002F36FE">
      <w:pPr>
        <w:pStyle w:val="BodyText"/>
      </w:pPr>
      <w:r w:rsidRPr="002F36FE">
        <w:t>Our submission is the result of our efforts to deliver greater value to customers. It demonstrates our commitment to diligently, carefully, openly and honestly serving the needs of the people who benefit from our services.</w:t>
      </w:r>
    </w:p>
    <w:p w14:paraId="32D3B84E" w14:textId="77777777" w:rsidR="002F36FE" w:rsidRPr="002F36FE" w:rsidRDefault="002F36FE" w:rsidP="002F36FE">
      <w:pPr>
        <w:pStyle w:val="Heading2"/>
      </w:pPr>
      <w:bookmarkStart w:id="15" w:name="_Toc52456169"/>
      <w:bookmarkStart w:id="16" w:name="_Toc55905364"/>
      <w:bookmarkStart w:id="17" w:name="_Toc55905492"/>
      <w:r w:rsidRPr="002F36FE">
        <w:t>We engaged early, deeply and broadly</w:t>
      </w:r>
      <w:bookmarkEnd w:id="15"/>
      <w:bookmarkEnd w:id="16"/>
      <w:bookmarkEnd w:id="17"/>
    </w:p>
    <w:p w14:paraId="7F525A27" w14:textId="77777777" w:rsidR="002F36FE" w:rsidRPr="002F36FE" w:rsidRDefault="002F36FE" w:rsidP="002F36FE">
      <w:pPr>
        <w:pStyle w:val="BodyText"/>
      </w:pPr>
      <w:r w:rsidRPr="002F36FE">
        <w:t>We engaged early and collaboratively across the breadth of our submission, aiming to deepen our understanding of our unique and diverse customer base so that our services reflect their priorities.</w:t>
      </w:r>
    </w:p>
    <w:p w14:paraId="155997DC" w14:textId="77777777" w:rsidR="002F36FE" w:rsidRPr="002F36FE" w:rsidRDefault="002F36FE" w:rsidP="002F36FE">
      <w:pPr>
        <w:pStyle w:val="ListBullet"/>
        <w:rPr>
          <w:noProof/>
        </w:rPr>
      </w:pPr>
      <w:r w:rsidRPr="002F36FE">
        <w:rPr>
          <w:noProof/>
        </w:rPr>
        <w:t>We began engagement early ahead of planning for our submission, enabling customer expectations and community insights to inform our work plans and focus areas for engagement – as well as our submission itself.</w:t>
      </w:r>
    </w:p>
    <w:p w14:paraId="292398FB" w14:textId="231BCBC6" w:rsidR="002F36FE" w:rsidRPr="002F36FE" w:rsidRDefault="002F36FE" w:rsidP="002F36FE">
      <w:pPr>
        <w:pStyle w:val="ListBullet"/>
        <w:rPr>
          <w:noProof/>
        </w:rPr>
      </w:pPr>
      <w:r w:rsidRPr="002F36FE">
        <w:rPr>
          <w:noProof/>
        </w:rPr>
        <w:t xml:space="preserve">We established two dedicated customer forums to collaborate with us on our submission </w:t>
      </w:r>
      <w:r>
        <w:rPr>
          <w:noProof/>
        </w:rPr>
        <w:t>over a period of nearly 20 months</w:t>
      </w:r>
      <w:r w:rsidRPr="002F36FE">
        <w:rPr>
          <w:noProof/>
        </w:rPr>
        <w:t>. We also collaborated with the community to develop guiding values and refine customer outcomes.</w:t>
      </w:r>
    </w:p>
    <w:p w14:paraId="55B0A8A7" w14:textId="77777777" w:rsidR="002F36FE" w:rsidRPr="002F36FE" w:rsidRDefault="002F36FE" w:rsidP="002F36FE">
      <w:pPr>
        <w:pStyle w:val="ListBullet"/>
        <w:rPr>
          <w:noProof/>
        </w:rPr>
      </w:pPr>
      <w:r w:rsidRPr="002F36FE">
        <w:rPr>
          <w:noProof/>
        </w:rPr>
        <w:t>We gave customers, via the dedicated forums, opportunities to review and comment on every aspect of our submission – providing insights into customer preferences and shaping our response to key service and regulatory matters.</w:t>
      </w:r>
    </w:p>
    <w:p w14:paraId="7542F5D7" w14:textId="77777777" w:rsidR="002F36FE" w:rsidRPr="002F36FE" w:rsidRDefault="002F36FE" w:rsidP="002F36FE">
      <w:pPr>
        <w:pStyle w:val="Heading2"/>
      </w:pPr>
      <w:bookmarkStart w:id="18" w:name="_Toc52456170"/>
      <w:bookmarkStart w:id="19" w:name="_Toc55905365"/>
      <w:bookmarkStart w:id="20" w:name="_Toc55905493"/>
      <w:r w:rsidRPr="002F36FE">
        <w:t>We will deliver the outcomes our customers value</w:t>
      </w:r>
      <w:bookmarkEnd w:id="18"/>
      <w:bookmarkEnd w:id="19"/>
      <w:bookmarkEnd w:id="20"/>
    </w:p>
    <w:p w14:paraId="24DE3DE1" w14:textId="77777777" w:rsidR="002F36FE" w:rsidRPr="002F36FE" w:rsidRDefault="002F36FE" w:rsidP="002F36FE">
      <w:pPr>
        <w:pStyle w:val="BodyText"/>
      </w:pPr>
      <w:r w:rsidRPr="002F36FE">
        <w:t>Our submission is centred on delivering the six outcomes our customers value:</w:t>
      </w:r>
    </w:p>
    <w:p w14:paraId="2CF7CF03" w14:textId="77777777" w:rsidR="003527E5" w:rsidRPr="003527E5" w:rsidRDefault="002F36FE" w:rsidP="002F36FE">
      <w:pPr>
        <w:pStyle w:val="ListBullet"/>
        <w:rPr>
          <w:rStyle w:val="Bold"/>
        </w:rPr>
      </w:pPr>
      <w:r w:rsidRPr="003527E5">
        <w:rPr>
          <w:rStyle w:val="Bold"/>
        </w:rPr>
        <w:t>Access to safe and reliable water and sewerage services</w:t>
      </w:r>
    </w:p>
    <w:p w14:paraId="7CF8B57B" w14:textId="2BE93736" w:rsidR="002F36FE" w:rsidRPr="002F36FE" w:rsidRDefault="002F36FE" w:rsidP="003527E5">
      <w:pPr>
        <w:pStyle w:val="ListContinue"/>
        <w:rPr>
          <w:noProof/>
        </w:rPr>
      </w:pPr>
      <w:r w:rsidRPr="002F36FE">
        <w:rPr>
          <w:noProof/>
        </w:rPr>
        <w:t>We will maintain our high-quality services for current and future Melburnians</w:t>
      </w:r>
    </w:p>
    <w:p w14:paraId="6C34D09F" w14:textId="77777777" w:rsidR="003527E5" w:rsidRPr="003527E5" w:rsidRDefault="002F36FE" w:rsidP="002F36FE">
      <w:pPr>
        <w:pStyle w:val="ListBullet"/>
        <w:rPr>
          <w:rStyle w:val="Bold"/>
        </w:rPr>
      </w:pPr>
      <w:r w:rsidRPr="003527E5">
        <w:rPr>
          <w:rStyle w:val="Bold"/>
        </w:rPr>
        <w:t>Melbourne’s environment, rivers, creeks and bays are protected and Melbourne Water’s greenhouse gas emissions are minimised</w:t>
      </w:r>
    </w:p>
    <w:p w14:paraId="6C571A3B" w14:textId="2C0C3AB4" w:rsidR="002F36FE" w:rsidRPr="002F36FE" w:rsidRDefault="002F36FE" w:rsidP="003527E5">
      <w:pPr>
        <w:pStyle w:val="ListContinue"/>
        <w:rPr>
          <w:noProof/>
        </w:rPr>
      </w:pPr>
      <w:r w:rsidRPr="002F36FE">
        <w:rPr>
          <w:noProof/>
        </w:rPr>
        <w:t>We will continue protecting the environment and playing our part to address climate change</w:t>
      </w:r>
    </w:p>
    <w:p w14:paraId="7B196528" w14:textId="77777777" w:rsidR="003527E5" w:rsidRPr="003527E5" w:rsidRDefault="002F36FE" w:rsidP="002F36FE">
      <w:pPr>
        <w:pStyle w:val="ListBullet"/>
        <w:rPr>
          <w:rStyle w:val="Bold"/>
        </w:rPr>
      </w:pPr>
      <w:r w:rsidRPr="003527E5">
        <w:rPr>
          <w:rStyle w:val="Bold"/>
        </w:rPr>
        <w:t>Melbourne remains liveable as it deals with the impacts of clima</w:t>
      </w:r>
      <w:r w:rsidR="003527E5" w:rsidRPr="003527E5">
        <w:rPr>
          <w:rStyle w:val="Bold"/>
        </w:rPr>
        <w:t>te change and population growth</w:t>
      </w:r>
    </w:p>
    <w:p w14:paraId="64962EA9" w14:textId="110800F5" w:rsidR="002F36FE" w:rsidRPr="002F36FE" w:rsidRDefault="002F36FE" w:rsidP="003527E5">
      <w:pPr>
        <w:pStyle w:val="ListContinue"/>
        <w:rPr>
          <w:noProof/>
        </w:rPr>
      </w:pPr>
      <w:r w:rsidRPr="002F36FE">
        <w:rPr>
          <w:noProof/>
        </w:rPr>
        <w:t>We will increase recreational access to the land we manage, and continue reducing flood risks</w:t>
      </w:r>
    </w:p>
    <w:p w14:paraId="2231CAFF" w14:textId="77777777" w:rsidR="003527E5" w:rsidRPr="003527E5" w:rsidRDefault="002F36FE" w:rsidP="002F36FE">
      <w:pPr>
        <w:pStyle w:val="ListBullet"/>
        <w:rPr>
          <w:rStyle w:val="Bold"/>
        </w:rPr>
      </w:pPr>
      <w:r w:rsidRPr="003527E5">
        <w:rPr>
          <w:rStyle w:val="Bold"/>
        </w:rPr>
        <w:t>Melburnians are empowered to support the design a</w:t>
      </w:r>
      <w:r w:rsidR="003527E5" w:rsidRPr="003527E5">
        <w:rPr>
          <w:rStyle w:val="Bold"/>
        </w:rPr>
        <w:t>nd delivery of service outcomes</w:t>
      </w:r>
    </w:p>
    <w:p w14:paraId="7088F284" w14:textId="6D34EB3F" w:rsidR="002F36FE" w:rsidRPr="002F36FE" w:rsidRDefault="002F36FE" w:rsidP="003527E5">
      <w:pPr>
        <w:pStyle w:val="ListContinue"/>
        <w:rPr>
          <w:noProof/>
        </w:rPr>
      </w:pPr>
      <w:r w:rsidRPr="002F36FE">
        <w:rPr>
          <w:noProof/>
        </w:rPr>
        <w:t>We will empower others to achieve more, especially for our waterways, than we could on our own</w:t>
      </w:r>
    </w:p>
    <w:p w14:paraId="4C7F3235" w14:textId="77777777" w:rsidR="003527E5" w:rsidRPr="003527E5" w:rsidRDefault="002F36FE" w:rsidP="002F36FE">
      <w:pPr>
        <w:pStyle w:val="ListBullet"/>
        <w:rPr>
          <w:rStyle w:val="Bold"/>
        </w:rPr>
      </w:pPr>
      <w:r w:rsidRPr="003527E5">
        <w:rPr>
          <w:rStyle w:val="Bold"/>
        </w:rPr>
        <w:t>Easy, respectful, responsive a</w:t>
      </w:r>
      <w:r w:rsidR="003527E5" w:rsidRPr="003527E5">
        <w:rPr>
          <w:rStyle w:val="Bold"/>
        </w:rPr>
        <w:t>nd transparent customer service</w:t>
      </w:r>
    </w:p>
    <w:p w14:paraId="50CCAC16" w14:textId="01AC5D2D" w:rsidR="002F36FE" w:rsidRPr="002F36FE" w:rsidRDefault="002F36FE" w:rsidP="003527E5">
      <w:pPr>
        <w:pStyle w:val="ListContinue"/>
        <w:rPr>
          <w:noProof/>
        </w:rPr>
      </w:pPr>
      <w:r w:rsidRPr="002F36FE">
        <w:rPr>
          <w:noProof/>
        </w:rPr>
        <w:t>We will reach new standards in customer service for each of our major services</w:t>
      </w:r>
    </w:p>
    <w:p w14:paraId="7A279850" w14:textId="77777777" w:rsidR="003527E5" w:rsidRPr="003527E5" w:rsidRDefault="003527E5" w:rsidP="002F36FE">
      <w:pPr>
        <w:pStyle w:val="ListBullet"/>
        <w:rPr>
          <w:rStyle w:val="Bold"/>
        </w:rPr>
      </w:pPr>
      <w:r w:rsidRPr="003527E5">
        <w:rPr>
          <w:rStyle w:val="Bold"/>
        </w:rPr>
        <w:t>Bills kept as low as possible</w:t>
      </w:r>
    </w:p>
    <w:p w14:paraId="56F2A4D4" w14:textId="7CEBB910" w:rsidR="002F36FE" w:rsidRPr="002F36FE" w:rsidRDefault="002F36FE" w:rsidP="003527E5">
      <w:pPr>
        <w:pStyle w:val="ListContinue"/>
        <w:rPr>
          <w:noProof/>
        </w:rPr>
      </w:pPr>
      <w:r w:rsidRPr="002F36FE">
        <w:rPr>
          <w:noProof/>
        </w:rPr>
        <w:t>We will continue focusing on efficiency and being transparent about emerging cost challenges</w:t>
      </w:r>
    </w:p>
    <w:p w14:paraId="35AA34E1" w14:textId="77777777" w:rsidR="002F36FE" w:rsidRPr="002F36FE" w:rsidRDefault="002F36FE" w:rsidP="002F36FE">
      <w:pPr>
        <w:pStyle w:val="Heading2"/>
      </w:pPr>
      <w:bookmarkStart w:id="21" w:name="_Toc52456171"/>
      <w:bookmarkStart w:id="22" w:name="_Toc55905366"/>
      <w:bookmarkStart w:id="23" w:name="_Toc55905494"/>
      <w:r w:rsidRPr="002F36FE">
        <w:t>We remain focused on affordability</w:t>
      </w:r>
      <w:bookmarkEnd w:id="21"/>
      <w:bookmarkEnd w:id="22"/>
      <w:bookmarkEnd w:id="23"/>
    </w:p>
    <w:p w14:paraId="5DBB69BD" w14:textId="77777777" w:rsidR="002F36FE" w:rsidRPr="002F36FE" w:rsidRDefault="002F36FE" w:rsidP="002F36FE">
      <w:pPr>
        <w:pStyle w:val="BodyText"/>
      </w:pPr>
      <w:r w:rsidRPr="002F36FE">
        <w:t>We’ve acted prudently and efficiently to keep bills as low as possible – ensuring customers are not paying for costs we can avoid or risks we can manage.</w:t>
      </w:r>
    </w:p>
    <w:p w14:paraId="79D454DE" w14:textId="77777777" w:rsidR="002F36FE" w:rsidRPr="002F36FE" w:rsidRDefault="002F36FE" w:rsidP="002F36FE">
      <w:pPr>
        <w:pStyle w:val="ListBullet"/>
        <w:rPr>
          <w:noProof/>
        </w:rPr>
      </w:pPr>
      <w:r w:rsidRPr="002F36FE">
        <w:rPr>
          <w:noProof/>
        </w:rPr>
        <w:t>We’ve smoothed the delivery of major infrastructure and renewals to minimise uncertain projects, and deferred $498 million in infrastructure projects until our next Price Submission so prices aren’t higher than they need to be.</w:t>
      </w:r>
    </w:p>
    <w:p w14:paraId="61C8C75A" w14:textId="77777777" w:rsidR="002F36FE" w:rsidRPr="002F36FE" w:rsidRDefault="002F36FE" w:rsidP="002F36FE">
      <w:pPr>
        <w:pStyle w:val="ListBullet"/>
        <w:rPr>
          <w:noProof/>
        </w:rPr>
      </w:pPr>
      <w:r w:rsidRPr="002F36FE">
        <w:rPr>
          <w:noProof/>
        </w:rPr>
        <w:t>We’ll keep our operating costs flat while supporting a growing population –  representing efficiencies of 2 per cent per year, or a saving of $106.5 million. We will bear any risks to revenue from lower-than-</w:t>
      </w:r>
      <w:r w:rsidRPr="002F36FE">
        <w:rPr>
          <w:noProof/>
        </w:rPr>
        <w:lastRenderedPageBreak/>
        <w:t>forecast demand as a result of the COVID-19 pandemic, rather than passing this on to customers through higher prices.</w:t>
      </w:r>
    </w:p>
    <w:p w14:paraId="6E94A787" w14:textId="77777777" w:rsidR="002F36FE" w:rsidRPr="002F36FE" w:rsidRDefault="002F36FE" w:rsidP="002F36FE">
      <w:pPr>
        <w:pStyle w:val="ListBullet"/>
        <w:rPr>
          <w:noProof/>
        </w:rPr>
      </w:pPr>
      <w:r w:rsidRPr="002F36FE">
        <w:rPr>
          <w:noProof/>
        </w:rPr>
        <w:t>We have reduced prices for our combined services while delivering the uplift in waterways and drainage services strongly supported by customers. The additional investment in these services is offset by decreases in our wholesale water and sewerage prices.</w:t>
      </w:r>
    </w:p>
    <w:p w14:paraId="57EBCC18" w14:textId="77777777" w:rsidR="002F36FE" w:rsidRPr="002F36FE" w:rsidRDefault="002F36FE" w:rsidP="002F36FE">
      <w:pPr>
        <w:pStyle w:val="Heading2"/>
      </w:pPr>
      <w:bookmarkStart w:id="24" w:name="_Toc52456172"/>
      <w:bookmarkStart w:id="25" w:name="_Toc55905367"/>
      <w:bookmarkStart w:id="26" w:name="_Toc55905495"/>
      <w:r w:rsidRPr="002F36FE">
        <w:t>We will be more accountable than ever</w:t>
      </w:r>
      <w:bookmarkEnd w:id="24"/>
      <w:bookmarkEnd w:id="25"/>
      <w:bookmarkEnd w:id="26"/>
    </w:p>
    <w:p w14:paraId="0C019DD9" w14:textId="77777777" w:rsidR="002F36FE" w:rsidRPr="002F36FE" w:rsidRDefault="002F36FE" w:rsidP="002F36FE">
      <w:pPr>
        <w:pStyle w:val="BodyText"/>
      </w:pPr>
      <w:r w:rsidRPr="002F36FE">
        <w:t>We will maintain our focus on customers throughout the five years of our submission, emphasising our commitment to meeting their expectations.</w:t>
      </w:r>
    </w:p>
    <w:p w14:paraId="35113B3D" w14:textId="77777777" w:rsidR="002F36FE" w:rsidRPr="002F36FE" w:rsidRDefault="002F36FE" w:rsidP="002F36FE">
      <w:pPr>
        <w:pStyle w:val="ListBullet"/>
        <w:rPr>
          <w:noProof/>
        </w:rPr>
      </w:pPr>
      <w:r w:rsidRPr="002F36FE">
        <w:rPr>
          <w:noProof/>
        </w:rPr>
        <w:t>We will introduce guaranteed service levels for our wholesale water and sewerage services, acknowledging our impact on households’ and businesses’ customer experiences. This deepens our service commitment and represents a significant step forwards in our relationship with the retail water companies.</w:t>
      </w:r>
    </w:p>
    <w:p w14:paraId="711A6FD8" w14:textId="77777777" w:rsidR="002F36FE" w:rsidRPr="002F36FE" w:rsidRDefault="002F36FE" w:rsidP="002F36FE">
      <w:pPr>
        <w:pStyle w:val="ListBullet"/>
        <w:rPr>
          <w:noProof/>
        </w:rPr>
      </w:pPr>
      <w:r w:rsidRPr="002F36FE">
        <w:rPr>
          <w:noProof/>
        </w:rPr>
        <w:t>We will address customers’ desire for greater transparency: reporting our annual performance directly to a representative customer forum as part of an ongoing conversation, and engaging them in responses to under or over-performance against the customer outcomes in our submission.</w:t>
      </w:r>
    </w:p>
    <w:p w14:paraId="1E41A5C3" w14:textId="77777777" w:rsidR="002F36FE" w:rsidRPr="002F36FE" w:rsidRDefault="002F36FE" w:rsidP="002F36FE">
      <w:pPr>
        <w:pStyle w:val="ListBullet"/>
        <w:rPr>
          <w:noProof/>
        </w:rPr>
      </w:pPr>
      <w:r w:rsidRPr="002F36FE">
        <w:rPr>
          <w:noProof/>
        </w:rPr>
        <w:t>We will ensure our priorities continue to align with customer preferences, engaging our customer forum to help us identify the most appropriate responses to emerging or unexpected issues, and to help prepare for our next price submission in 2026.</w:t>
      </w:r>
    </w:p>
    <w:p w14:paraId="5780D9B8" w14:textId="77777777" w:rsidR="002F36FE" w:rsidRPr="002F36FE" w:rsidRDefault="002F36FE" w:rsidP="002F36FE">
      <w:pPr>
        <w:pStyle w:val="Heading2"/>
      </w:pPr>
      <w:bookmarkStart w:id="27" w:name="_Toc55905368"/>
      <w:bookmarkStart w:id="28" w:name="_Toc55905496"/>
      <w:r w:rsidRPr="002F36FE">
        <w:t>Delivering will be challenging, but we are up to the task.</w:t>
      </w:r>
      <w:bookmarkEnd w:id="27"/>
      <w:bookmarkEnd w:id="28"/>
      <w:r w:rsidRPr="002F36FE">
        <w:t xml:space="preserve"> </w:t>
      </w:r>
    </w:p>
    <w:p w14:paraId="40E92534" w14:textId="39245105" w:rsidR="002F36FE" w:rsidRDefault="002F36FE" w:rsidP="002F36FE">
      <w:pPr>
        <w:pStyle w:val="BodyText"/>
      </w:pPr>
      <w:r w:rsidRPr="002F36FE">
        <w:t>Population growth, climate change and the COVID-19 pandemic are key challenges we must and will address during the five-year submission period. We are confident our response is considered, proportionate and designed to deliver the outcomes Melburnians value – while remaining focused on affordability and preparing for challenges ahead.</w:t>
      </w:r>
    </w:p>
    <w:p w14:paraId="676229E5" w14:textId="50B167D5" w:rsidR="00A05E2F" w:rsidRDefault="00A05E2F" w:rsidP="00AA1DA2">
      <w:pPr>
        <w:pStyle w:val="Heading1"/>
      </w:pPr>
      <w:bookmarkStart w:id="29" w:name="_Toc55905497"/>
      <w:r>
        <w:lastRenderedPageBreak/>
        <w:t>Our services at a glance</w:t>
      </w:r>
      <w:bookmarkEnd w:id="29"/>
    </w:p>
    <w:p w14:paraId="294B89D7" w14:textId="77777777" w:rsidR="00ED26AB" w:rsidRPr="00ED26AB" w:rsidRDefault="00ED26AB" w:rsidP="00ED26AB">
      <w:pPr>
        <w:pStyle w:val="BodyText"/>
      </w:pPr>
      <w:r w:rsidRPr="00ED26AB">
        <w:t xml:space="preserve">Melbourne Water is owned by the Victorian Government and manages Melbourne’s major water resources on behalf of the community. We play a unique role: part essential service provider, and part steward of the region’s liveability. </w:t>
      </w:r>
    </w:p>
    <w:p w14:paraId="51F3D24C" w14:textId="77777777" w:rsidR="00ED26AB" w:rsidRPr="00ED26AB" w:rsidRDefault="00ED26AB" w:rsidP="00ED26AB">
      <w:pPr>
        <w:pStyle w:val="BodyText"/>
      </w:pPr>
      <w:r w:rsidRPr="00ED26AB">
        <w:t>Five million Melburnians benefit every day from the services we deliver in partnership with a range of organisations. These include your retail water company, to whom we provide wholesale water and sewerage services, and your local council, who shares responsibility for the drainage network.</w:t>
      </w:r>
    </w:p>
    <w:p w14:paraId="177955AA" w14:textId="3786CCC9" w:rsidR="00ED26AB" w:rsidRPr="00ED26AB" w:rsidRDefault="00ED26AB" w:rsidP="00ED26AB">
      <w:pPr>
        <w:pStyle w:val="ListBullet"/>
        <w:rPr>
          <w:noProof/>
        </w:rPr>
      </w:pPr>
      <w:r w:rsidRPr="00ED26AB">
        <w:rPr>
          <w:noProof/>
        </w:rPr>
        <w:t xml:space="preserve">We supply high-quality drinking </w:t>
      </w:r>
      <w:r w:rsidRPr="00744954">
        <w:rPr>
          <w:rStyle w:val="Bold"/>
        </w:rPr>
        <w:t>water</w:t>
      </w:r>
      <w:r w:rsidRPr="00ED26AB">
        <w:rPr>
          <w:noProof/>
        </w:rPr>
        <w:t xml:space="preserve"> through a network of 11 major reservoirs, 41 service reservoirs, 14 water treatment plants an</w:t>
      </w:r>
      <w:r>
        <w:rPr>
          <w:noProof/>
        </w:rPr>
        <w:t>d 1,600 kilometres of aqueducts.</w:t>
      </w:r>
    </w:p>
    <w:p w14:paraId="24D811C2" w14:textId="4C434067" w:rsidR="00ED26AB" w:rsidRPr="00ED26AB" w:rsidRDefault="00ED26AB" w:rsidP="00ED26AB">
      <w:pPr>
        <w:pStyle w:val="ListBullet"/>
        <w:rPr>
          <w:noProof/>
        </w:rPr>
      </w:pPr>
      <w:r>
        <w:rPr>
          <w:noProof/>
        </w:rPr>
        <w:t>W</w:t>
      </w:r>
      <w:r w:rsidRPr="00ED26AB">
        <w:rPr>
          <w:noProof/>
        </w:rPr>
        <w:t xml:space="preserve">e provide a reliable </w:t>
      </w:r>
      <w:r w:rsidRPr="00744954">
        <w:rPr>
          <w:rStyle w:val="Bold"/>
        </w:rPr>
        <w:t>sewerage</w:t>
      </w:r>
      <w:r w:rsidRPr="00ED26AB">
        <w:rPr>
          <w:noProof/>
        </w:rPr>
        <w:t xml:space="preserve"> system, which includes 400 kilometres of sewer mains, eight pumping stations and two major treatment plants in Melbourne’s east and west</w:t>
      </w:r>
      <w:r>
        <w:rPr>
          <w:noProof/>
        </w:rPr>
        <w:t>.</w:t>
      </w:r>
    </w:p>
    <w:p w14:paraId="102DFF65" w14:textId="17D4D2F3" w:rsidR="00ED26AB" w:rsidRPr="00ED26AB" w:rsidRDefault="00ED26AB" w:rsidP="00ED26AB">
      <w:pPr>
        <w:pStyle w:val="ListBullet"/>
        <w:rPr>
          <w:noProof/>
        </w:rPr>
      </w:pPr>
      <w:r w:rsidRPr="00ED26AB">
        <w:rPr>
          <w:noProof/>
        </w:rPr>
        <w:t xml:space="preserve">We manage </w:t>
      </w:r>
      <w:r w:rsidRPr="00744954">
        <w:rPr>
          <w:rStyle w:val="Bold"/>
        </w:rPr>
        <w:t>drainage</w:t>
      </w:r>
      <w:r w:rsidRPr="00ED26AB">
        <w:rPr>
          <w:noProof/>
        </w:rPr>
        <w:t xml:space="preserve"> to provide protection from the impacts of flooding, through assets including 1,500 kilometres of underground drains, 243 flood retarding basins and 24 drainage pumping stations</w:t>
      </w:r>
      <w:r>
        <w:rPr>
          <w:noProof/>
        </w:rPr>
        <w:t>.</w:t>
      </w:r>
    </w:p>
    <w:p w14:paraId="104EA1C7" w14:textId="458EE05A" w:rsidR="00ED26AB" w:rsidRPr="00ED26AB" w:rsidRDefault="00ED26AB" w:rsidP="00ED26AB">
      <w:pPr>
        <w:pStyle w:val="ListBullet"/>
      </w:pPr>
      <w:r w:rsidRPr="00ED26AB">
        <w:rPr>
          <w:noProof/>
        </w:rPr>
        <w:t>We</w:t>
      </w:r>
      <w:r>
        <w:rPr>
          <w:noProof/>
        </w:rPr>
        <w:t xml:space="preserve"> manage </w:t>
      </w:r>
      <w:r w:rsidRPr="00744954">
        <w:rPr>
          <w:rStyle w:val="Bold"/>
        </w:rPr>
        <w:t>waterways</w:t>
      </w:r>
      <w:r>
        <w:rPr>
          <w:noProof/>
        </w:rPr>
        <w:t xml:space="preserve"> across a region that includes</w:t>
      </w:r>
      <w:r w:rsidRPr="00ED26AB">
        <w:rPr>
          <w:noProof/>
        </w:rPr>
        <w:t xml:space="preserve"> 25,000 </w:t>
      </w:r>
      <w:r>
        <w:rPr>
          <w:noProof/>
        </w:rPr>
        <w:t>kilometres of rivers and creeks,</w:t>
      </w:r>
      <w:r w:rsidRPr="00ED26AB">
        <w:rPr>
          <w:noProof/>
        </w:rPr>
        <w:t xml:space="preserve"> </w:t>
      </w:r>
      <w:r>
        <w:rPr>
          <w:noProof/>
        </w:rPr>
        <w:t>1</w:t>
      </w:r>
      <w:r w:rsidRPr="00ED26AB">
        <w:rPr>
          <w:noProof/>
        </w:rPr>
        <w:t>4,000 natural wetlands</w:t>
      </w:r>
      <w:r>
        <w:rPr>
          <w:noProof/>
        </w:rPr>
        <w:t xml:space="preserve"> and</w:t>
      </w:r>
      <w:r w:rsidRPr="00ED26AB">
        <w:rPr>
          <w:noProof/>
        </w:rPr>
        <w:t xml:space="preserve"> 33 estuaries. We also work with others to create enjoyable community spaces on the land that surrounds them.</w:t>
      </w:r>
    </w:p>
    <w:p w14:paraId="01035AA0" w14:textId="77777777" w:rsidR="00ED26AB" w:rsidRDefault="00ED26AB" w:rsidP="00ED26AB">
      <w:pPr>
        <w:pStyle w:val="Heading2"/>
      </w:pPr>
      <w:bookmarkStart w:id="30" w:name="_Toc39007440"/>
      <w:bookmarkStart w:id="31" w:name="_Toc52456174"/>
      <w:bookmarkStart w:id="32" w:name="_Toc55905370"/>
      <w:bookmarkStart w:id="33" w:name="_Toc55905498"/>
      <w:r>
        <w:t>Our prices and your water bill</w:t>
      </w:r>
      <w:bookmarkEnd w:id="30"/>
      <w:bookmarkEnd w:id="31"/>
      <w:bookmarkEnd w:id="32"/>
      <w:bookmarkEnd w:id="33"/>
    </w:p>
    <w:p w14:paraId="42AD7152" w14:textId="77777777" w:rsidR="00ED26AB" w:rsidRDefault="00ED26AB" w:rsidP="00ED26AB">
      <w:pPr>
        <w:pStyle w:val="BodyText"/>
      </w:pPr>
      <w:r>
        <w:t xml:space="preserve">Your water and sewerage charges include </w:t>
      </w:r>
      <w:r w:rsidRPr="00ED26AB">
        <w:rPr>
          <w:b/>
        </w:rPr>
        <w:t>retail</w:t>
      </w:r>
      <w:r>
        <w:t xml:space="preserve"> costs from your water company, as well as our </w:t>
      </w:r>
      <w:r w:rsidRPr="00ED26AB">
        <w:rPr>
          <w:b/>
        </w:rPr>
        <w:t>wholesale</w:t>
      </w:r>
      <w:r>
        <w:t xml:space="preserve"> costs – which </w:t>
      </w:r>
      <w:r w:rsidRPr="000622EA">
        <w:t xml:space="preserve">make up just over half of </w:t>
      </w:r>
      <w:r>
        <w:t>this portion of your bill</w:t>
      </w:r>
      <w:r w:rsidRPr="000622EA">
        <w:t>.</w:t>
      </w:r>
    </w:p>
    <w:p w14:paraId="78B8619F" w14:textId="703880AD" w:rsidR="00ED26AB" w:rsidRPr="000622EA" w:rsidRDefault="00ED26AB" w:rsidP="00ED26AB">
      <w:pPr>
        <w:pStyle w:val="BodyText"/>
      </w:pPr>
      <w:r w:rsidRPr="000622EA">
        <w:t>Your bill also includes our Waterways and Drainage Charge, which your water company collects on our behalf.</w:t>
      </w:r>
    </w:p>
    <w:p w14:paraId="0A062520" w14:textId="77777777" w:rsidR="00A05E2F" w:rsidRDefault="00A05E2F" w:rsidP="00AA1DA2">
      <w:pPr>
        <w:pStyle w:val="Heading3"/>
      </w:pPr>
      <w:r>
        <w:t>Water</w:t>
      </w:r>
    </w:p>
    <w:p w14:paraId="28CAF054" w14:textId="12426427" w:rsidR="00A05E2F" w:rsidRDefault="00A05E2F" w:rsidP="00AA1DA2">
      <w:pPr>
        <w:pStyle w:val="BodyText"/>
      </w:pPr>
      <w:r>
        <w:t xml:space="preserve">Our wholesale water charges go towards </w:t>
      </w:r>
      <w:r w:rsidR="00ED26AB">
        <w:t>storing, treating and transferring water from catchments, and producing water from the Victorian Desalination Plant</w:t>
      </w:r>
      <w:r>
        <w:t xml:space="preserve">. </w:t>
      </w:r>
    </w:p>
    <w:p w14:paraId="0C7286BC" w14:textId="77777777" w:rsidR="00A05E2F" w:rsidRDefault="00A05E2F" w:rsidP="00AA1DA2">
      <w:pPr>
        <w:pStyle w:val="Heading3"/>
      </w:pPr>
      <w:r>
        <w:t>Sewerage</w:t>
      </w:r>
    </w:p>
    <w:p w14:paraId="20A780F6" w14:textId="1A774A7D" w:rsidR="00A05E2F" w:rsidRDefault="00A05E2F" w:rsidP="00AA1DA2">
      <w:pPr>
        <w:pStyle w:val="BodyText"/>
      </w:pPr>
      <w:r>
        <w:t xml:space="preserve">Our wholesale sewerage charges </w:t>
      </w:r>
      <w:r w:rsidR="00ED26AB">
        <w:t>fund the transfer and treatment of sewage, which is supplied as recycled water or discharged to our bays</w:t>
      </w:r>
      <w:r>
        <w:t xml:space="preserve">. </w:t>
      </w:r>
    </w:p>
    <w:p w14:paraId="550B2CB7" w14:textId="77777777" w:rsidR="00A05E2F" w:rsidRDefault="00A05E2F" w:rsidP="00AA1DA2">
      <w:pPr>
        <w:pStyle w:val="Heading3"/>
      </w:pPr>
      <w:r>
        <w:t>Waterways and Drainage Charge</w:t>
      </w:r>
    </w:p>
    <w:p w14:paraId="28BF5008" w14:textId="36C240A6" w:rsidR="00A05E2F" w:rsidRDefault="00A05E2F" w:rsidP="00AA1DA2">
      <w:pPr>
        <w:pStyle w:val="BodyText"/>
      </w:pPr>
      <w:r>
        <w:t xml:space="preserve">This </w:t>
      </w:r>
      <w:r w:rsidR="00ED26AB">
        <w:t>f</w:t>
      </w:r>
      <w:r>
        <w:t xml:space="preserve">unds a range </w:t>
      </w:r>
      <w:r w:rsidR="00ED26AB">
        <w:t>of activities to protect and improve waterway health, manage drainage and provide flood protection</w:t>
      </w:r>
      <w:r>
        <w:t>.</w:t>
      </w:r>
    </w:p>
    <w:p w14:paraId="4E6E1DCB" w14:textId="77777777" w:rsidR="00A05E2F" w:rsidRDefault="00A05E2F" w:rsidP="00AA1DA2">
      <w:pPr>
        <w:pStyle w:val="Heading3"/>
      </w:pPr>
      <w:r>
        <w:t>Parks Charge</w:t>
      </w:r>
    </w:p>
    <w:p w14:paraId="1FC5A2F3" w14:textId="126DF134" w:rsidR="00A05E2F" w:rsidRDefault="00ED26AB" w:rsidP="00ED26AB">
      <w:pPr>
        <w:pStyle w:val="BodyText"/>
      </w:pPr>
      <w:r>
        <w:t>C</w:t>
      </w:r>
      <w:r w:rsidR="00A05E2F">
        <w:t xml:space="preserve">ollected on behalf of the Department of Environment, Land, Water and Planning, </w:t>
      </w:r>
      <w:r>
        <w:t>this</w:t>
      </w:r>
      <w:r w:rsidR="00A05E2F">
        <w:t xml:space="preserve"> supports Melbourne’s parks, trails, public facilities and zoos, as well as the Royal Botanic Gardens and Shrine of Remembrance.</w:t>
      </w:r>
    </w:p>
    <w:p w14:paraId="02FC987D" w14:textId="64AE248B" w:rsidR="00A05E2F" w:rsidRPr="00A05E2F" w:rsidRDefault="003720BC" w:rsidP="00AA1DA2">
      <w:pPr>
        <w:pStyle w:val="Heading1"/>
      </w:pPr>
      <w:bookmarkStart w:id="34" w:name="_Toc55905499"/>
      <w:r>
        <w:lastRenderedPageBreak/>
        <w:t>Melbourne’s challenges are our challenges</w:t>
      </w:r>
      <w:bookmarkEnd w:id="34"/>
    </w:p>
    <w:p w14:paraId="5DAD73F3" w14:textId="77777777" w:rsidR="003720BC" w:rsidRPr="003720BC" w:rsidRDefault="003720BC" w:rsidP="003720BC">
      <w:pPr>
        <w:pStyle w:val="BodyText"/>
      </w:pPr>
      <w:r w:rsidRPr="003720BC">
        <w:t>Greater Melbourne is experiencing a period of profound transformation. A changing climate and ever-growing population are impacting the way we plan and deliver services, while the COVID-19 pandemic presents new challenges we must address.</w:t>
      </w:r>
    </w:p>
    <w:p w14:paraId="367574EE" w14:textId="77777777" w:rsidR="003720BC" w:rsidRPr="003720BC" w:rsidRDefault="003720BC" w:rsidP="003720BC">
      <w:pPr>
        <w:pStyle w:val="BodyText"/>
      </w:pPr>
      <w:r w:rsidRPr="003720BC">
        <w:t>Our services face a number of challenges, today and into the future. We’ve drawn on our operational experience, customer engagement and collaboratively-developed strategies to identify key themes our submission must address, so we can deliver the outcomes customers seek from our services.</w:t>
      </w:r>
    </w:p>
    <w:p w14:paraId="5313A2E7" w14:textId="77777777" w:rsidR="003720BC" w:rsidRPr="003720BC" w:rsidRDefault="003720BC" w:rsidP="003720BC">
      <w:pPr>
        <w:pStyle w:val="Heading2"/>
      </w:pPr>
      <w:bookmarkStart w:id="35" w:name="_Toc39007442"/>
      <w:bookmarkStart w:id="36" w:name="_Toc55905372"/>
      <w:bookmarkStart w:id="37" w:name="_Toc55905500"/>
      <w:r w:rsidRPr="003720BC">
        <w:t>Catering for a growing population</w:t>
      </w:r>
      <w:bookmarkEnd w:id="36"/>
      <w:bookmarkEnd w:id="37"/>
    </w:p>
    <w:p w14:paraId="335D6CF5" w14:textId="77777777" w:rsidR="003720BC" w:rsidRPr="003720BC" w:rsidRDefault="003720BC" w:rsidP="003720BC">
      <w:pPr>
        <w:pStyle w:val="BodyText"/>
      </w:pPr>
      <w:r w:rsidRPr="003720BC">
        <w:t>Population growth places pressure on our water supplies and our sewerage system capacity – as well as increasing demand for public green space to enjoy the benefits of connecting with nature. As our suburbs expand to accommodate this growth they reduce natural vegetation and increase hard surfaces like roads, roofs and pavements.</w:t>
      </w:r>
    </w:p>
    <w:p w14:paraId="2229C235" w14:textId="77777777" w:rsidR="003720BC" w:rsidRPr="003720BC" w:rsidRDefault="003720BC" w:rsidP="003720BC">
      <w:pPr>
        <w:pStyle w:val="BodyText"/>
      </w:pPr>
      <w:r w:rsidRPr="003720BC">
        <w:t>Despite the effects of the COVID-19 pandemic, we will begin the 2021 Price Submission period with half a million more Melbourne residents than the submission before it, and expect to gain another half a million more by the end of the five-year period. We must also address growth that has occurred in recent years and pushed many of our assets to capacity.</w:t>
      </w:r>
    </w:p>
    <w:p w14:paraId="370C1E81" w14:textId="77777777" w:rsidR="003720BC" w:rsidRPr="003720BC" w:rsidRDefault="003720BC" w:rsidP="003720BC">
      <w:pPr>
        <w:pStyle w:val="Heading2"/>
      </w:pPr>
      <w:bookmarkStart w:id="38" w:name="_Toc55905373"/>
      <w:bookmarkStart w:id="39" w:name="_Toc55905501"/>
      <w:bookmarkEnd w:id="35"/>
      <w:r w:rsidRPr="003720BC">
        <w:t>Acting to address climate change</w:t>
      </w:r>
      <w:bookmarkEnd w:id="38"/>
      <w:bookmarkEnd w:id="39"/>
    </w:p>
    <w:p w14:paraId="66FB1DFE" w14:textId="77777777" w:rsidR="003720BC" w:rsidRPr="003720BC" w:rsidRDefault="003720BC" w:rsidP="003720BC">
      <w:pPr>
        <w:pStyle w:val="BodyText"/>
      </w:pPr>
      <w:r w:rsidRPr="003720BC">
        <w:t>We are living in a changing climate with less overall rainfall, higher temperatures and more intense storms. This is exacerbated by urban development, as more stormwater runs off hard surfaces into our rivers and creeks.</w:t>
      </w:r>
    </w:p>
    <w:p w14:paraId="4ABA7F07" w14:textId="77777777" w:rsidR="003720BC" w:rsidRPr="003720BC" w:rsidRDefault="003720BC" w:rsidP="003720BC">
      <w:pPr>
        <w:pStyle w:val="BodyText"/>
      </w:pPr>
      <w:r w:rsidRPr="003720BC">
        <w:t>These changes have far-reaching implications for the way we manage our services: from water security, to flood risk and the health of our waterways, whose ecosystems are damaged by unnaturally high flows and stormwater pollution. More water will also infiltrate our sewerage network and increase the risk of spills into the environment.</w:t>
      </w:r>
    </w:p>
    <w:p w14:paraId="6FA7FCA4" w14:textId="77777777" w:rsidR="003720BC" w:rsidRPr="003720BC" w:rsidRDefault="003720BC" w:rsidP="003720BC">
      <w:pPr>
        <w:pStyle w:val="Heading2"/>
      </w:pPr>
      <w:bookmarkStart w:id="40" w:name="_Toc55905374"/>
      <w:bookmarkStart w:id="41" w:name="_Toc55905502"/>
      <w:r w:rsidRPr="003720BC">
        <w:t>Maintaining and renewing existing assets</w:t>
      </w:r>
      <w:bookmarkEnd w:id="40"/>
      <w:bookmarkEnd w:id="41"/>
    </w:p>
    <w:p w14:paraId="1A941C43" w14:textId="77777777" w:rsidR="003720BC" w:rsidRPr="003720BC" w:rsidRDefault="003720BC" w:rsidP="003720BC">
      <w:pPr>
        <w:pStyle w:val="BodyText"/>
      </w:pPr>
      <w:r w:rsidRPr="003720BC">
        <w:t xml:space="preserve">We rely on a network of world-class infrastructure to deliver our services. This includes Melbourne’s major water storages and sewage treatment plants, as well as thousands of kilometres of pipes and natural waterways spanning the Greater Melbourne region. </w:t>
      </w:r>
    </w:p>
    <w:p w14:paraId="3F0CF368" w14:textId="77777777" w:rsidR="003720BC" w:rsidRPr="003720BC" w:rsidRDefault="003720BC" w:rsidP="003720BC">
      <w:pPr>
        <w:pStyle w:val="BodyText"/>
      </w:pPr>
      <w:r w:rsidRPr="003720BC">
        <w:t>Each of these assets needs to be maintained and periodically renewed, contributing to our maintenance and renewal costs – and ultimately household and business water bills.</w:t>
      </w:r>
    </w:p>
    <w:p w14:paraId="6EE2B80B" w14:textId="77777777" w:rsidR="003720BC" w:rsidRPr="003720BC" w:rsidRDefault="003720BC" w:rsidP="003720BC">
      <w:pPr>
        <w:pStyle w:val="Heading2"/>
      </w:pPr>
      <w:bookmarkStart w:id="42" w:name="_Toc52456177"/>
      <w:bookmarkStart w:id="43" w:name="_Toc55905375"/>
      <w:bookmarkStart w:id="44" w:name="_Toc55905503"/>
      <w:r w:rsidRPr="003720BC">
        <w:t>Responding to COVID-19</w:t>
      </w:r>
      <w:bookmarkEnd w:id="42"/>
      <w:bookmarkEnd w:id="43"/>
      <w:bookmarkEnd w:id="44"/>
    </w:p>
    <w:p w14:paraId="0ABB60FB" w14:textId="77777777" w:rsidR="003720BC" w:rsidRPr="003720BC" w:rsidRDefault="003720BC" w:rsidP="003720BC">
      <w:pPr>
        <w:pStyle w:val="BodyText"/>
      </w:pPr>
      <w:r w:rsidRPr="003720BC">
        <w:t>The COVID-19 pandemic has added to these challenges, creating significant uncertainty as governments and communities deal with ongoing restrictions and their impact on businesses and the economy.</w:t>
      </w:r>
    </w:p>
    <w:p w14:paraId="51842EB6" w14:textId="77777777" w:rsidR="003720BC" w:rsidRPr="003720BC" w:rsidRDefault="003720BC" w:rsidP="003720BC">
      <w:pPr>
        <w:pStyle w:val="BodyText"/>
      </w:pPr>
      <w:r w:rsidRPr="003720BC">
        <w:t>We’ve carefully considered the implications and amended our initial proposals, in order to minimise price increases and ensure customers are not paying for any additional uncertainty caused by the pandemic. In doing so, we’ve sought to balance this with the longer-term outcomes and services our customers have told us they value.</w:t>
      </w:r>
    </w:p>
    <w:p w14:paraId="5700D86E" w14:textId="77777777" w:rsidR="003720BC" w:rsidRPr="003720BC" w:rsidRDefault="003720BC" w:rsidP="003720BC">
      <w:pPr>
        <w:pStyle w:val="BodyText"/>
      </w:pPr>
      <w:r w:rsidRPr="003720BC">
        <w:t>Our measures include:</w:t>
      </w:r>
    </w:p>
    <w:p w14:paraId="567BC568" w14:textId="77777777" w:rsidR="003720BC" w:rsidRPr="003720BC" w:rsidRDefault="003720BC" w:rsidP="003720BC">
      <w:pPr>
        <w:pStyle w:val="ListBullet"/>
        <w:rPr>
          <w:noProof/>
        </w:rPr>
      </w:pPr>
      <w:r w:rsidRPr="003720BC">
        <w:rPr>
          <w:noProof/>
        </w:rPr>
        <w:t xml:space="preserve">Ensuring customers do not bear an unfair burden from risks they expect us to manage. We have timed our infrastructure renewal program to reduce the total amount customers will pay by $42.9 million. We </w:t>
      </w:r>
      <w:r w:rsidRPr="003720BC">
        <w:rPr>
          <w:noProof/>
        </w:rPr>
        <w:lastRenderedPageBreak/>
        <w:t>are also bearing any risks to revenue from lower-than-forecast demand, rather than pass this on to customers through higher prices.</w:t>
      </w:r>
    </w:p>
    <w:p w14:paraId="655111A1" w14:textId="77777777" w:rsidR="003720BC" w:rsidRPr="003720BC" w:rsidRDefault="003720BC" w:rsidP="003720BC">
      <w:pPr>
        <w:pStyle w:val="ListBullet"/>
        <w:rPr>
          <w:noProof/>
        </w:rPr>
      </w:pPr>
      <w:r w:rsidRPr="003720BC">
        <w:rPr>
          <w:noProof/>
        </w:rPr>
        <w:t>Spreading proposed price increases for waterways and drainage services across the full five years of the submission, rather than a larger one-off increase in the first year. This means the annual residential charges in 2021-22 will be $105.36 rather than $108.95 – a modest change, but we know every dollar counts in times like these.</w:t>
      </w:r>
    </w:p>
    <w:p w14:paraId="721E2813" w14:textId="77777777" w:rsidR="003720BC" w:rsidRPr="003720BC" w:rsidRDefault="003720BC" w:rsidP="003720BC">
      <w:pPr>
        <w:pStyle w:val="ListBullet"/>
        <w:rPr>
          <w:noProof/>
        </w:rPr>
      </w:pPr>
      <w:r w:rsidRPr="003720BC">
        <w:rPr>
          <w:noProof/>
        </w:rPr>
        <w:t>Continuing to monitor the situation to understand customer affordability and the social, health and financial pressures arising from the pandemic. Based on these insights, we will review the case for setting our prices lower than those determined by the Essential Services Commission in any given year, engaging an ongoing customer forum established to report on our performance against our Price Submission commitments.</w:t>
      </w:r>
    </w:p>
    <w:p w14:paraId="0D3445DC" w14:textId="15551DD4" w:rsidR="00417864" w:rsidRPr="0083326F" w:rsidRDefault="003720BC" w:rsidP="00E61EDA">
      <w:pPr>
        <w:pStyle w:val="PullBoxQuote"/>
      </w:pPr>
      <w:r w:rsidRPr="003720BC">
        <w:t>“I’m really pleased to hear that Melbourne Water is considering the serious impacts that COVID-19 has had on customers and the community.”</w:t>
      </w:r>
    </w:p>
    <w:p w14:paraId="357CBC30" w14:textId="77777777" w:rsidR="00A05E2F" w:rsidRDefault="00A05E2F" w:rsidP="00AA1DA2">
      <w:pPr>
        <w:pStyle w:val="Heading1"/>
      </w:pPr>
      <w:bookmarkStart w:id="45" w:name="_Toc55905504"/>
      <w:r>
        <w:lastRenderedPageBreak/>
        <w:t>Listening to our customers and community</w:t>
      </w:r>
      <w:bookmarkEnd w:id="45"/>
    </w:p>
    <w:p w14:paraId="723835BB" w14:textId="77777777" w:rsidR="00FC375F" w:rsidRDefault="00FC375F" w:rsidP="00FC375F">
      <w:pPr>
        <w:pStyle w:val="BodyText"/>
      </w:pPr>
      <w:r w:rsidRPr="00FC375F">
        <w:t>Our submission reflects</w:t>
      </w:r>
      <w:r>
        <w:t xml:space="preserve"> </w:t>
      </w:r>
      <w:r w:rsidRPr="00FC375F">
        <w:t>our continuous evolution</w:t>
      </w:r>
      <w:r>
        <w:t xml:space="preserve"> </w:t>
      </w:r>
      <w:r w:rsidRPr="00FC375F">
        <w:t>as a customer-centric</w:t>
      </w:r>
      <w:r>
        <w:t xml:space="preserve"> </w:t>
      </w:r>
      <w:r w:rsidRPr="00FC375F">
        <w:t>organisation, prioritising</w:t>
      </w:r>
      <w:r>
        <w:t xml:space="preserve"> </w:t>
      </w:r>
      <w:r w:rsidRPr="00FC375F">
        <w:t>genuine two-way dialogue</w:t>
      </w:r>
      <w:r>
        <w:t xml:space="preserve"> </w:t>
      </w:r>
      <w:r w:rsidRPr="00FC375F">
        <w:t>and embedding engagement</w:t>
      </w:r>
      <w:r>
        <w:t xml:space="preserve"> </w:t>
      </w:r>
      <w:r w:rsidRPr="00FC375F">
        <w:t>and customer insights into</w:t>
      </w:r>
      <w:r>
        <w:t xml:space="preserve"> </w:t>
      </w:r>
      <w:r w:rsidRPr="00FC375F">
        <w:t>how we do business.</w:t>
      </w:r>
    </w:p>
    <w:p w14:paraId="155A0BD1" w14:textId="77777777" w:rsidR="00FC375F" w:rsidRDefault="00FC375F" w:rsidP="00FC375F">
      <w:pPr>
        <w:pStyle w:val="BodyText"/>
      </w:pPr>
      <w:r w:rsidRPr="00FC375F">
        <w:t>It is the result of a comprehensive</w:t>
      </w:r>
      <w:r>
        <w:t xml:space="preserve"> </w:t>
      </w:r>
      <w:r w:rsidRPr="00FC375F">
        <w:t>engagement program focused on</w:t>
      </w:r>
      <w:r>
        <w:t xml:space="preserve"> </w:t>
      </w:r>
      <w:r w:rsidRPr="00FC375F">
        <w:t>understanding the needs of our customers</w:t>
      </w:r>
      <w:r>
        <w:t xml:space="preserve"> </w:t>
      </w:r>
      <w:r w:rsidRPr="00FC375F">
        <w:t>across the water sector, government and</w:t>
      </w:r>
      <w:r>
        <w:t xml:space="preserve"> </w:t>
      </w:r>
      <w:r w:rsidRPr="00FC375F">
        <w:t>industry, as well as the broader community</w:t>
      </w:r>
      <w:r>
        <w:t xml:space="preserve"> </w:t>
      </w:r>
      <w:r w:rsidRPr="00FC375F">
        <w:t>who benefits from our services.</w:t>
      </w:r>
    </w:p>
    <w:p w14:paraId="2B7BB02A" w14:textId="77777777" w:rsidR="00FC375F" w:rsidRDefault="00FC375F" w:rsidP="00FC375F">
      <w:pPr>
        <w:pStyle w:val="BodyText"/>
      </w:pPr>
      <w:r w:rsidRPr="00FC375F">
        <w:t>Over 20 months we provided</w:t>
      </w:r>
      <w:r>
        <w:t xml:space="preserve"> </w:t>
      </w:r>
      <w:r w:rsidRPr="00FC375F">
        <w:t>multiple opportunities to shape key</w:t>
      </w:r>
      <w:r>
        <w:t xml:space="preserve"> </w:t>
      </w:r>
      <w:r w:rsidRPr="00FC375F">
        <w:t>elements of our submission, through</w:t>
      </w:r>
      <w:r>
        <w:t xml:space="preserve"> </w:t>
      </w:r>
      <w:r w:rsidRPr="00FC375F">
        <w:t>a variety of channels and forums.</w:t>
      </w:r>
      <w:r>
        <w:t xml:space="preserve"> </w:t>
      </w:r>
      <w:r w:rsidRPr="00FC375F">
        <w:t>We established two Customer Councils</w:t>
      </w:r>
      <w:r>
        <w:t xml:space="preserve"> </w:t>
      </w:r>
      <w:r w:rsidRPr="00FC375F">
        <w:t>who were closely involved in developing</w:t>
      </w:r>
      <w:r>
        <w:t xml:space="preserve"> </w:t>
      </w:r>
      <w:r w:rsidRPr="00FC375F">
        <w:t>our submission: one for water and</w:t>
      </w:r>
      <w:r>
        <w:t xml:space="preserve"> </w:t>
      </w:r>
      <w:r w:rsidRPr="00FC375F">
        <w:t>sewerage services with our retail water</w:t>
      </w:r>
      <w:r>
        <w:t xml:space="preserve"> </w:t>
      </w:r>
      <w:r w:rsidRPr="00FC375F">
        <w:t>company customers; and another</w:t>
      </w:r>
      <w:r>
        <w:t xml:space="preserve"> </w:t>
      </w:r>
      <w:r w:rsidRPr="00FC375F">
        <w:t>for waterways and drainage services</w:t>
      </w:r>
      <w:r>
        <w:t xml:space="preserve"> </w:t>
      </w:r>
      <w:r w:rsidRPr="00FC375F">
        <w:t>with a diverse group of customers and</w:t>
      </w:r>
      <w:r>
        <w:t xml:space="preserve"> </w:t>
      </w:r>
      <w:r w:rsidRPr="00FC375F">
        <w:t>service delivery partners. The councils</w:t>
      </w:r>
      <w:r>
        <w:t xml:space="preserve"> </w:t>
      </w:r>
      <w:r w:rsidRPr="00FC375F">
        <w:t>focused on strategic matters to help</w:t>
      </w:r>
      <w:r>
        <w:t xml:space="preserve"> </w:t>
      </w:r>
      <w:r w:rsidRPr="00FC375F">
        <w:t>refine our engagement, define the</w:t>
      </w:r>
      <w:r>
        <w:t xml:space="preserve"> </w:t>
      </w:r>
      <w:r w:rsidRPr="00FC375F">
        <w:t>outcomes customers want from our</w:t>
      </w:r>
      <w:r>
        <w:t xml:space="preserve"> </w:t>
      </w:r>
      <w:r w:rsidRPr="00FC375F">
        <w:t>services, and review our proposed</w:t>
      </w:r>
      <w:r>
        <w:t xml:space="preserve"> </w:t>
      </w:r>
      <w:r w:rsidRPr="00FC375F">
        <w:t>investments and performance measures.</w:t>
      </w:r>
    </w:p>
    <w:p w14:paraId="3736DB26" w14:textId="77777777" w:rsidR="00FC375F" w:rsidRDefault="00FC375F" w:rsidP="00FC375F">
      <w:pPr>
        <w:pStyle w:val="BodyText"/>
      </w:pPr>
      <w:r w:rsidRPr="00FC375F">
        <w:t>These insights were complemented</w:t>
      </w:r>
      <w:r>
        <w:t xml:space="preserve"> </w:t>
      </w:r>
      <w:r w:rsidRPr="00FC375F">
        <w:t>by a robust research program seeking</w:t>
      </w:r>
      <w:r>
        <w:t xml:space="preserve"> </w:t>
      </w:r>
      <w:r w:rsidRPr="00FC375F">
        <w:t>informed views from a representative</w:t>
      </w:r>
      <w:r>
        <w:t xml:space="preserve"> </w:t>
      </w:r>
      <w:r w:rsidRPr="00FC375F">
        <w:t>sample of the community to understand</w:t>
      </w:r>
      <w:r>
        <w:t xml:space="preserve"> </w:t>
      </w:r>
      <w:r w:rsidRPr="00FC375F">
        <w:t>their preferences and willingness to</w:t>
      </w:r>
      <w:r>
        <w:t xml:space="preserve"> </w:t>
      </w:r>
      <w:r w:rsidRPr="00FC375F">
        <w:t>pay for different levels of service. The</w:t>
      </w:r>
      <w:r>
        <w:t xml:space="preserve"> </w:t>
      </w:r>
      <w:r w:rsidRPr="00FC375F">
        <w:t>community also reviewed our proposed</w:t>
      </w:r>
      <w:r>
        <w:t xml:space="preserve"> </w:t>
      </w:r>
      <w:r w:rsidRPr="00FC375F">
        <w:t>outcomes and performance measures,</w:t>
      </w:r>
      <w:r>
        <w:t xml:space="preserve"> </w:t>
      </w:r>
      <w:r w:rsidRPr="00FC375F">
        <w:t>and our measures to address affordability</w:t>
      </w:r>
      <w:r>
        <w:t xml:space="preserve"> </w:t>
      </w:r>
      <w:r w:rsidRPr="00FC375F">
        <w:t>in light of the impacts of COVID-19.</w:t>
      </w:r>
    </w:p>
    <w:p w14:paraId="5B3EC001" w14:textId="649EB29B" w:rsidR="00FC375F" w:rsidRDefault="00FC375F" w:rsidP="00FC375F">
      <w:pPr>
        <w:pStyle w:val="BodyText"/>
        <w:rPr>
          <w:b/>
          <w:bCs/>
        </w:rPr>
      </w:pPr>
      <w:r w:rsidRPr="00FC375F">
        <w:t>Throughout this process, we’ve aimed</w:t>
      </w:r>
      <w:r>
        <w:t xml:space="preserve"> </w:t>
      </w:r>
      <w:r w:rsidRPr="00FC375F">
        <w:t>to not only develop a submission that</w:t>
      </w:r>
      <w:r>
        <w:t xml:space="preserve"> </w:t>
      </w:r>
      <w:r w:rsidRPr="00FC375F">
        <w:t>delivers the outcomes Melburnians</w:t>
      </w:r>
      <w:r>
        <w:t xml:space="preserve"> </w:t>
      </w:r>
      <w:r w:rsidRPr="00FC375F">
        <w:t>value, but also set the foundation</w:t>
      </w:r>
      <w:r>
        <w:t xml:space="preserve"> </w:t>
      </w:r>
      <w:r w:rsidRPr="00FC375F">
        <w:t>for an ongoing conversation on our</w:t>
      </w:r>
      <w:r>
        <w:t xml:space="preserve"> </w:t>
      </w:r>
      <w:r w:rsidRPr="00FC375F">
        <w:t>performance against our commitments.</w:t>
      </w:r>
    </w:p>
    <w:p w14:paraId="67F06D84" w14:textId="212CE764" w:rsidR="001D03A3" w:rsidRDefault="001D03A3" w:rsidP="00FC375F">
      <w:pPr>
        <w:pStyle w:val="Heading2"/>
      </w:pPr>
      <w:bookmarkStart w:id="46" w:name="_Toc55905377"/>
      <w:bookmarkStart w:id="47" w:name="_Toc55905505"/>
      <w:r>
        <w:t xml:space="preserve">How engagement shaped our </w:t>
      </w:r>
      <w:r w:rsidR="00FC375F">
        <w:t>s</w:t>
      </w:r>
      <w:r>
        <w:t>ubmission</w:t>
      </w:r>
      <w:bookmarkEnd w:id="46"/>
      <w:bookmarkEnd w:id="47"/>
    </w:p>
    <w:p w14:paraId="0DA6594B" w14:textId="77777777" w:rsidR="001D03A3" w:rsidRPr="00AA1DA2" w:rsidRDefault="001D03A3" w:rsidP="001D03A3">
      <w:pPr>
        <w:pStyle w:val="ListBullet"/>
      </w:pPr>
      <w:r w:rsidRPr="00AA1DA2">
        <w:t>Stage 1: Values and focus areas</w:t>
      </w:r>
    </w:p>
    <w:p w14:paraId="41BC3AC8" w14:textId="179C6378" w:rsidR="001D03A3" w:rsidRDefault="00FC375F" w:rsidP="001D03A3">
      <w:pPr>
        <w:pStyle w:val="ListContinue"/>
        <w:rPr>
          <w:noProof/>
        </w:rPr>
      </w:pPr>
      <w:r>
        <w:rPr>
          <w:noProof/>
        </w:rPr>
        <w:t>February</w:t>
      </w:r>
      <w:r w:rsidR="001D03A3">
        <w:rPr>
          <w:noProof/>
        </w:rPr>
        <w:t>–May 2019</w:t>
      </w:r>
    </w:p>
    <w:p w14:paraId="6D27EEC2" w14:textId="7CC32F63" w:rsidR="001D03A3" w:rsidRDefault="00FC375F" w:rsidP="001D03A3">
      <w:pPr>
        <w:pStyle w:val="ListContinue"/>
        <w:rPr>
          <w:noProof/>
        </w:rPr>
      </w:pPr>
      <w:r>
        <w:t>Community</w:t>
      </w:r>
      <w:r w:rsidRPr="006A3201">
        <w:t xml:space="preserve"> research, customer insights from the retail water companies and a community co-design workshop shaped our understanding of customer values and focus areas for further exploration through our</w:t>
      </w:r>
      <w:r>
        <w:t xml:space="preserve"> engagement program</w:t>
      </w:r>
      <w:r w:rsidR="001D03A3">
        <w:rPr>
          <w:noProof/>
        </w:rPr>
        <w:t>.</w:t>
      </w:r>
    </w:p>
    <w:p w14:paraId="6E962FFE" w14:textId="77777777" w:rsidR="00FC375F" w:rsidRDefault="00FC375F" w:rsidP="00FC375F">
      <w:pPr>
        <w:pStyle w:val="ListBullet2"/>
      </w:pPr>
      <w:r>
        <w:t>Engagement program scope defined</w:t>
      </w:r>
    </w:p>
    <w:p w14:paraId="12BC08CE" w14:textId="77777777" w:rsidR="00FC375F" w:rsidRDefault="00FC375F" w:rsidP="00FC375F">
      <w:pPr>
        <w:pStyle w:val="ListBullet2"/>
      </w:pPr>
      <w:r>
        <w:t>Preliminary customer outcomes drafted</w:t>
      </w:r>
    </w:p>
    <w:p w14:paraId="2EFEB5BB" w14:textId="77777777" w:rsidR="001D03A3" w:rsidRPr="00AA1DA2" w:rsidRDefault="001D03A3" w:rsidP="00AA1DA2">
      <w:pPr>
        <w:pStyle w:val="ListBullet"/>
        <w:spacing w:before="200"/>
      </w:pPr>
      <w:r w:rsidRPr="00AA1DA2">
        <w:t>Stage 2: Preferences and performance</w:t>
      </w:r>
    </w:p>
    <w:p w14:paraId="7C8E9EF9" w14:textId="466F57F4" w:rsidR="001D03A3" w:rsidRDefault="001D03A3" w:rsidP="001D03A3">
      <w:pPr>
        <w:pStyle w:val="ListContinue"/>
        <w:rPr>
          <w:noProof/>
        </w:rPr>
      </w:pPr>
      <w:r>
        <w:rPr>
          <w:noProof/>
        </w:rPr>
        <w:t>June 2019–April 2020</w:t>
      </w:r>
    </w:p>
    <w:p w14:paraId="0675A0B6" w14:textId="043DA2FA" w:rsidR="001D03A3" w:rsidRDefault="00FC375F" w:rsidP="001D03A3">
      <w:pPr>
        <w:pStyle w:val="ListContinue"/>
        <w:rPr>
          <w:noProof/>
        </w:rPr>
      </w:pPr>
      <w:r w:rsidRPr="00CA749C">
        <w:t>Customer Councils shared information and explored issues previously identified, and focus groups and surveys tested community preferences and willingness to pay for services. This helped to inform expectations of our performance as well as our investment program.</w:t>
      </w:r>
    </w:p>
    <w:p w14:paraId="639B5D03" w14:textId="77777777" w:rsidR="00FC375F" w:rsidRDefault="00FC375F" w:rsidP="00FC375F">
      <w:pPr>
        <w:pStyle w:val="ListBullet2"/>
      </w:pPr>
      <w:r>
        <w:t>Customer outcomes revised</w:t>
      </w:r>
    </w:p>
    <w:p w14:paraId="5A4C2C2E" w14:textId="77777777" w:rsidR="00FC375F" w:rsidRDefault="00FC375F" w:rsidP="00FC375F">
      <w:pPr>
        <w:pStyle w:val="ListBullet2"/>
      </w:pPr>
      <w:r>
        <w:t>Outputs and measures defined for each outcome</w:t>
      </w:r>
    </w:p>
    <w:p w14:paraId="7CADDD45" w14:textId="7760D884" w:rsidR="001D03A3" w:rsidRPr="00AA1DA2" w:rsidRDefault="00FC375F" w:rsidP="00FC375F">
      <w:pPr>
        <w:pStyle w:val="ListBullet2"/>
      </w:pPr>
      <w:r>
        <w:t>Investment program developed</w:t>
      </w:r>
    </w:p>
    <w:p w14:paraId="350E8EF6" w14:textId="25DB1FE7" w:rsidR="001D03A3" w:rsidRPr="00AA1DA2" w:rsidRDefault="001D03A3" w:rsidP="00AA1DA2">
      <w:pPr>
        <w:pStyle w:val="ListBullet"/>
        <w:spacing w:before="200"/>
      </w:pPr>
      <w:r w:rsidRPr="00AA1DA2">
        <w:t>Stage 3: Validation</w:t>
      </w:r>
    </w:p>
    <w:p w14:paraId="0A8F469E" w14:textId="6A7F3EC1" w:rsidR="001D03A3" w:rsidRDefault="001D03A3" w:rsidP="001D03A3">
      <w:pPr>
        <w:pStyle w:val="ListContinue"/>
        <w:rPr>
          <w:noProof/>
        </w:rPr>
      </w:pPr>
      <w:r>
        <w:rPr>
          <w:noProof/>
        </w:rPr>
        <w:t>April–</w:t>
      </w:r>
      <w:r w:rsidR="00FC375F">
        <w:rPr>
          <w:noProof/>
        </w:rPr>
        <w:t>September</w:t>
      </w:r>
      <w:r>
        <w:rPr>
          <w:noProof/>
        </w:rPr>
        <w:t xml:space="preserve"> 2020</w:t>
      </w:r>
    </w:p>
    <w:p w14:paraId="3594C74F" w14:textId="4F6ABEE9" w:rsidR="001D03A3" w:rsidRPr="00AA1DA2" w:rsidRDefault="00FC375F" w:rsidP="001D03A3">
      <w:pPr>
        <w:pStyle w:val="ListContinue"/>
      </w:pPr>
      <w:r w:rsidRPr="00CA749C">
        <w:t>Customer Councils and the community – online and through series of deliberative panels – reviewed our draft proposals to help refine our submission. This included additional engagement in response to COVID-19, which tested several proposals to ease bill impacts</w:t>
      </w:r>
      <w:r w:rsidR="001D03A3" w:rsidRPr="00AA1DA2">
        <w:t xml:space="preserve">. </w:t>
      </w:r>
    </w:p>
    <w:p w14:paraId="00A267E7" w14:textId="77777777" w:rsidR="00FC375F" w:rsidRDefault="00FC375F" w:rsidP="00FC375F">
      <w:pPr>
        <w:pStyle w:val="ListBullet2"/>
      </w:pPr>
      <w:r>
        <w:t>Customer outcomes refined and prioritised</w:t>
      </w:r>
    </w:p>
    <w:p w14:paraId="7178B1AD" w14:textId="77777777" w:rsidR="00FC375F" w:rsidRDefault="00FC375F" w:rsidP="00FC375F">
      <w:pPr>
        <w:pStyle w:val="ListBullet2"/>
      </w:pPr>
      <w:r>
        <w:t>Investment program finalised</w:t>
      </w:r>
    </w:p>
    <w:p w14:paraId="3E4532DC" w14:textId="77777777" w:rsidR="00FC375F" w:rsidRDefault="00FC375F" w:rsidP="00FC375F">
      <w:pPr>
        <w:pStyle w:val="ListBullet2"/>
      </w:pPr>
      <w:r>
        <w:t>Guaranteed service levels introduced for water and sewerage services</w:t>
      </w:r>
    </w:p>
    <w:p w14:paraId="7FBCEE6C" w14:textId="77777777" w:rsidR="00FC375F" w:rsidRDefault="00FC375F" w:rsidP="00FC375F">
      <w:pPr>
        <w:pStyle w:val="ListBullet2"/>
      </w:pPr>
      <w:r>
        <w:lastRenderedPageBreak/>
        <w:t>Performance reporting established</w:t>
      </w:r>
    </w:p>
    <w:p w14:paraId="61921425" w14:textId="77777777" w:rsidR="00A05E2F" w:rsidRDefault="00A05E2F" w:rsidP="00AA1DA2">
      <w:pPr>
        <w:pStyle w:val="Heading2"/>
      </w:pPr>
      <w:bookmarkStart w:id="48" w:name="_Toc55905378"/>
      <w:bookmarkStart w:id="49" w:name="_Toc55905506"/>
      <w:r w:rsidRPr="00846327">
        <w:t>Who we engaged</w:t>
      </w:r>
      <w:bookmarkEnd w:id="48"/>
      <w:bookmarkEnd w:id="49"/>
    </w:p>
    <w:p w14:paraId="61CC629A" w14:textId="77777777" w:rsidR="00FC375F" w:rsidRDefault="00FC375F" w:rsidP="00FC375F">
      <w:pPr>
        <w:pStyle w:val="Heading3"/>
      </w:pPr>
      <w:r>
        <w:t>Retail water companies</w:t>
      </w:r>
    </w:p>
    <w:p w14:paraId="78EF8EC0" w14:textId="31554557" w:rsidR="00FC375F" w:rsidRDefault="00FC375F" w:rsidP="00FC375F">
      <w:pPr>
        <w:pStyle w:val="ListBullet"/>
        <w:rPr>
          <w:noProof/>
        </w:rPr>
      </w:pPr>
      <w:r>
        <w:rPr>
          <w:noProof/>
        </w:rPr>
        <w:t>6 retail water companies represented on the Water and Sewerage Customer Council, which met 17 times</w:t>
      </w:r>
    </w:p>
    <w:p w14:paraId="19444FAB" w14:textId="77777777" w:rsidR="00FC375F" w:rsidRDefault="00FC375F" w:rsidP="00FC375F">
      <w:pPr>
        <w:pStyle w:val="ListBullet"/>
        <w:rPr>
          <w:noProof/>
        </w:rPr>
      </w:pPr>
      <w:r>
        <w:rPr>
          <w:noProof/>
        </w:rPr>
        <w:t>7 participants in research on retail water company customer values</w:t>
      </w:r>
    </w:p>
    <w:p w14:paraId="6CB10698" w14:textId="77777777" w:rsidR="00FC375F" w:rsidRDefault="00FC375F" w:rsidP="00FC375F">
      <w:pPr>
        <w:pStyle w:val="ListBullet2"/>
        <w:rPr>
          <w:noProof/>
        </w:rPr>
      </w:pPr>
      <w:r>
        <w:rPr>
          <w:noProof/>
        </w:rPr>
        <w:t>Regulatory Managers Forum established to explore complex regulatory matters in depth</w:t>
      </w:r>
    </w:p>
    <w:p w14:paraId="5E56ED41" w14:textId="77777777" w:rsidR="00FC375F" w:rsidRDefault="00FC375F" w:rsidP="00FC375F">
      <w:pPr>
        <w:pStyle w:val="ListBullet2"/>
        <w:rPr>
          <w:noProof/>
        </w:rPr>
      </w:pPr>
      <w:r>
        <w:rPr>
          <w:noProof/>
        </w:rPr>
        <w:t>Engagement Advisory Panel established to share community insights and advice from other retail water companies</w:t>
      </w:r>
    </w:p>
    <w:p w14:paraId="47D8B027" w14:textId="77777777" w:rsidR="00FC375F" w:rsidRDefault="00FC375F" w:rsidP="00FC375F">
      <w:pPr>
        <w:pStyle w:val="ListBullet2"/>
        <w:rPr>
          <w:noProof/>
        </w:rPr>
      </w:pPr>
      <w:r>
        <w:rPr>
          <w:noProof/>
        </w:rPr>
        <w:t>Roadshows and information sessions to explain our approach to risk, pricing, and capital and operating expenditure</w:t>
      </w:r>
    </w:p>
    <w:p w14:paraId="0F4D9D65" w14:textId="77777777" w:rsidR="00A05E2F" w:rsidRDefault="00A05E2F" w:rsidP="00AA1DA2">
      <w:pPr>
        <w:pStyle w:val="Heading3"/>
      </w:pPr>
      <w:r>
        <w:t>Households and businesses</w:t>
      </w:r>
    </w:p>
    <w:p w14:paraId="2F9BF473" w14:textId="7E156F35" w:rsidR="00A05E2F" w:rsidRDefault="00A05E2F" w:rsidP="00846327">
      <w:pPr>
        <w:pStyle w:val="ListBullet"/>
        <w:rPr>
          <w:noProof/>
        </w:rPr>
      </w:pPr>
      <w:r>
        <w:rPr>
          <w:noProof/>
        </w:rPr>
        <w:t>145+ participants in 20 focus groups and 1 online panel</w:t>
      </w:r>
    </w:p>
    <w:p w14:paraId="0CFDA191" w14:textId="01F416AE" w:rsidR="00A05E2F" w:rsidRDefault="00A05E2F" w:rsidP="00846327">
      <w:pPr>
        <w:pStyle w:val="ListBullet"/>
        <w:rPr>
          <w:noProof/>
        </w:rPr>
      </w:pPr>
      <w:r>
        <w:rPr>
          <w:noProof/>
        </w:rPr>
        <w:t>3,</w:t>
      </w:r>
      <w:r w:rsidR="00FC375F">
        <w:rPr>
          <w:noProof/>
        </w:rPr>
        <w:t>75</w:t>
      </w:r>
      <w:r>
        <w:rPr>
          <w:noProof/>
        </w:rPr>
        <w:t xml:space="preserve">3 residents and </w:t>
      </w:r>
      <w:r w:rsidR="00FC375F">
        <w:rPr>
          <w:noProof/>
        </w:rPr>
        <w:t>53</w:t>
      </w:r>
      <w:r>
        <w:rPr>
          <w:noProof/>
        </w:rPr>
        <w:t>5 businesses responded to 2 surveys testing investment preferences and willingness to pay for services</w:t>
      </w:r>
    </w:p>
    <w:p w14:paraId="792BFD95" w14:textId="301A79CE" w:rsidR="00A05E2F" w:rsidRDefault="00FC375F" w:rsidP="00846327">
      <w:pPr>
        <w:pStyle w:val="ListBullet"/>
        <w:rPr>
          <w:noProof/>
        </w:rPr>
      </w:pPr>
      <w:r>
        <w:rPr>
          <w:noProof/>
        </w:rPr>
        <w:t>8</w:t>
      </w:r>
      <w:r w:rsidR="00A05E2F">
        <w:rPr>
          <w:noProof/>
        </w:rPr>
        <w:t>0+ participants in 3 deliberative panels</w:t>
      </w:r>
      <w:r>
        <w:rPr>
          <w:noProof/>
        </w:rPr>
        <w:t>, including 2 held online</w:t>
      </w:r>
    </w:p>
    <w:p w14:paraId="27AC2907" w14:textId="744B4E43" w:rsidR="00A05E2F" w:rsidRDefault="00FC375F" w:rsidP="00846327">
      <w:pPr>
        <w:pStyle w:val="ListBullet"/>
        <w:rPr>
          <w:noProof/>
        </w:rPr>
      </w:pPr>
      <w:r>
        <w:rPr>
          <w:noProof/>
        </w:rPr>
        <w:t>6,351 visits and</w:t>
      </w:r>
      <w:r w:rsidR="00A05E2F">
        <w:rPr>
          <w:noProof/>
        </w:rPr>
        <w:t xml:space="preserve"> </w:t>
      </w:r>
      <w:r>
        <w:rPr>
          <w:noProof/>
        </w:rPr>
        <w:t>228 subscribes</w:t>
      </w:r>
      <w:r w:rsidR="00A05E2F">
        <w:rPr>
          <w:noProof/>
        </w:rPr>
        <w:t xml:space="preserve"> to the Price Submission YourSay website</w:t>
      </w:r>
    </w:p>
    <w:p w14:paraId="12AEBA9A" w14:textId="752C0CD7" w:rsidR="00A05E2F" w:rsidRDefault="00A05E2F" w:rsidP="00846327">
      <w:pPr>
        <w:pStyle w:val="ListBullet"/>
        <w:rPr>
          <w:noProof/>
        </w:rPr>
      </w:pPr>
      <w:r>
        <w:rPr>
          <w:noProof/>
        </w:rPr>
        <w:t xml:space="preserve">1,500 people </w:t>
      </w:r>
      <w:r w:rsidR="00FC375F">
        <w:rPr>
          <w:noProof/>
        </w:rPr>
        <w:t xml:space="preserve">estimated to have been </w:t>
      </w:r>
      <w:r>
        <w:rPr>
          <w:noProof/>
        </w:rPr>
        <w:t>engaged at 5 community festivals held across Melbourne</w:t>
      </w:r>
    </w:p>
    <w:p w14:paraId="15219F31" w14:textId="4F5CD583" w:rsidR="00A05E2F" w:rsidRDefault="00FC375F" w:rsidP="00846327">
      <w:pPr>
        <w:pStyle w:val="ListBullet"/>
        <w:rPr>
          <w:noProof/>
        </w:rPr>
      </w:pPr>
      <w:r>
        <w:rPr>
          <w:noProof/>
        </w:rPr>
        <w:t>2</w:t>
      </w:r>
      <w:r w:rsidR="00A05E2F">
        <w:rPr>
          <w:noProof/>
        </w:rPr>
        <w:t>,</w:t>
      </w:r>
      <w:r>
        <w:rPr>
          <w:noProof/>
        </w:rPr>
        <w:t>47</w:t>
      </w:r>
      <w:r w:rsidR="00A05E2F">
        <w:rPr>
          <w:noProof/>
        </w:rPr>
        <w:t>7 click-throughs on social media</w:t>
      </w:r>
    </w:p>
    <w:p w14:paraId="5D2B5417" w14:textId="24928026" w:rsidR="00FC375F" w:rsidRDefault="00FC375F" w:rsidP="00FC375F">
      <w:pPr>
        <w:pStyle w:val="Heading3"/>
      </w:pPr>
      <w:r>
        <w:t>Waterways and drainage customers</w:t>
      </w:r>
    </w:p>
    <w:p w14:paraId="6245EB9E" w14:textId="75F6BB4F" w:rsidR="00FC375F" w:rsidRDefault="00FC375F" w:rsidP="00FC375F">
      <w:pPr>
        <w:pStyle w:val="ListBullet"/>
        <w:rPr>
          <w:noProof/>
        </w:rPr>
      </w:pPr>
      <w:r>
        <w:rPr>
          <w:noProof/>
        </w:rPr>
        <w:t xml:space="preserve">14 members from </w:t>
      </w:r>
      <w:r>
        <w:t>local government</w:t>
      </w:r>
      <w:r w:rsidRPr="00B44108">
        <w:t xml:space="preserve">, community groups, </w:t>
      </w:r>
      <w:r>
        <w:t xml:space="preserve">emergency services, </w:t>
      </w:r>
      <w:r w:rsidRPr="00B44108">
        <w:t>the development industry</w:t>
      </w:r>
      <w:r>
        <w:t xml:space="preserve"> and an agricultural customer</w:t>
      </w:r>
      <w:r w:rsidRPr="00B44108">
        <w:t xml:space="preserve"> on the Waterways and Drainage Customer Council, </w:t>
      </w:r>
      <w:r>
        <w:t>which</w:t>
      </w:r>
      <w:r w:rsidRPr="00B44108">
        <w:t xml:space="preserve"> met </w:t>
      </w:r>
      <w:r>
        <w:t>13</w:t>
      </w:r>
      <w:r w:rsidRPr="00B44108">
        <w:t xml:space="preserve"> times</w:t>
      </w:r>
    </w:p>
    <w:p w14:paraId="2F6CF081" w14:textId="77777777" w:rsidR="00FC375F" w:rsidRDefault="00FC375F" w:rsidP="00FC375F">
      <w:pPr>
        <w:pStyle w:val="ListBullet"/>
        <w:rPr>
          <w:noProof/>
        </w:rPr>
      </w:pPr>
      <w:r>
        <w:rPr>
          <w:noProof/>
        </w:rPr>
        <w:t>26 online submissions from councils to inform waterway, drainage and flood protection services</w:t>
      </w:r>
    </w:p>
    <w:p w14:paraId="26A9C216" w14:textId="77777777" w:rsidR="00FC375F" w:rsidRDefault="00FC375F" w:rsidP="00FC375F">
      <w:pPr>
        <w:pStyle w:val="Heading3"/>
      </w:pPr>
      <w:r>
        <w:t>Direct service customers</w:t>
      </w:r>
    </w:p>
    <w:p w14:paraId="5987866E" w14:textId="1FD567DE" w:rsidR="00FC375F" w:rsidRDefault="00FC375F" w:rsidP="00FC375F">
      <w:pPr>
        <w:pStyle w:val="ListBullet"/>
        <w:rPr>
          <w:noProof/>
        </w:rPr>
      </w:pPr>
      <w:r>
        <w:rPr>
          <w:noProof/>
        </w:rPr>
        <w:t>Waterway diversion customers</w:t>
      </w:r>
      <w:r w:rsidR="00CC44C3">
        <w:rPr>
          <w:noProof/>
        </w:rPr>
        <w:t>, such as farmers and nurseries</w:t>
      </w:r>
    </w:p>
    <w:p w14:paraId="3F3D0BE5" w14:textId="77777777" w:rsidR="00FC375F" w:rsidRDefault="00FC375F" w:rsidP="00FC375F">
      <w:pPr>
        <w:pStyle w:val="ListBullet"/>
        <w:rPr>
          <w:noProof/>
        </w:rPr>
      </w:pPr>
      <w:r>
        <w:rPr>
          <w:noProof/>
        </w:rPr>
        <w:t>Property owners in Patterson Lakes’ Quiet Lakes and the Koo Wee Rup–Longwarry Flood Protection District</w:t>
      </w:r>
    </w:p>
    <w:p w14:paraId="4BA26A04" w14:textId="28E13DD4" w:rsidR="00A05E2F" w:rsidRDefault="00CC44C3" w:rsidP="00AA1DA2">
      <w:pPr>
        <w:pStyle w:val="Heading3"/>
      </w:pPr>
      <w:r>
        <w:t>Key agencies</w:t>
      </w:r>
    </w:p>
    <w:p w14:paraId="30CA0C12" w14:textId="3F06D34E" w:rsidR="00A05E2F" w:rsidRDefault="00CC44C3" w:rsidP="00CC44C3">
      <w:pPr>
        <w:pStyle w:val="ListBullet"/>
        <w:rPr>
          <w:noProof/>
        </w:rPr>
      </w:pPr>
      <w:r w:rsidRPr="00CC44C3">
        <w:rPr>
          <w:noProof/>
        </w:rPr>
        <w:t>A series of briefings were provided to state government, consumer advocates and Traditional Owners (Bunurong, Wadawurrung and Wurundjeri Woi wurrung)</w:t>
      </w:r>
    </w:p>
    <w:p w14:paraId="72C8A28E" w14:textId="204A3A24" w:rsidR="00A05E2F" w:rsidRDefault="00A05E2F" w:rsidP="00AA1DA2">
      <w:pPr>
        <w:pStyle w:val="Heading1"/>
      </w:pPr>
      <w:bookmarkStart w:id="50" w:name="_Toc55905507"/>
      <w:r>
        <w:lastRenderedPageBreak/>
        <w:t>Our commitment to you</w:t>
      </w:r>
      <w:bookmarkEnd w:id="50"/>
    </w:p>
    <w:p w14:paraId="161119EC" w14:textId="225F0353" w:rsidR="00A05E2F" w:rsidRDefault="00A05E2F" w:rsidP="00AA1DA2">
      <w:pPr>
        <w:pStyle w:val="BodyText"/>
      </w:pPr>
      <w:r>
        <w:t xml:space="preserve">We’ve </w:t>
      </w:r>
      <w:r w:rsidRPr="00846327">
        <w:t>worked with our customers and community to develop a Price Submission that delivers the outcomes they value, while fulfilling our obligations and addressing the challenges that face our region.</w:t>
      </w:r>
    </w:p>
    <w:p w14:paraId="2919A8D2" w14:textId="77777777" w:rsidR="009A0CAC" w:rsidRDefault="009A0CAC" w:rsidP="009A0CAC">
      <w:pPr>
        <w:pStyle w:val="ListBullet"/>
      </w:pPr>
      <w:r>
        <w:t>Our submission is centred on six outcomes that describe what our customers are looking to us to deliver over the next five years and beyond.</w:t>
      </w:r>
    </w:p>
    <w:p w14:paraId="586E587A" w14:textId="77777777" w:rsidR="009A0CAC" w:rsidRDefault="009A0CAC" w:rsidP="009A0CAC">
      <w:pPr>
        <w:pStyle w:val="ListBullet"/>
      </w:pPr>
      <w:r>
        <w:t>Each outcome is accompanied by the key actions we will take to achieve it, ensuring we’re aligned to deliver what customers value.</w:t>
      </w:r>
    </w:p>
    <w:p w14:paraId="65C97545" w14:textId="20C5347F" w:rsidR="00A05E2F" w:rsidRPr="00AA1DA2" w:rsidRDefault="009A0CAC" w:rsidP="009A0CAC">
      <w:pPr>
        <w:pStyle w:val="ListBullet"/>
      </w:pPr>
      <w:r>
        <w:t>We’ll report our performance against a series of measures, holding ourselves accountable for fulfilling our commitments to customers.</w:t>
      </w:r>
    </w:p>
    <w:p w14:paraId="7CA4D292" w14:textId="4DE03409" w:rsidR="00A05E2F" w:rsidRDefault="009A0CAC" w:rsidP="00AA1DA2">
      <w:pPr>
        <w:pStyle w:val="BodyText"/>
      </w:pPr>
      <w:r w:rsidRPr="009A0CAC">
        <w:t>Our submission balances five service-oriented outcomes with one single affordability outcome, reflecting our aim to deliver highly-valued</w:t>
      </w:r>
      <w:r>
        <w:t xml:space="preserve"> services at a cost that’s fair</w:t>
      </w:r>
      <w:r w:rsidR="00A05E2F" w:rsidRPr="00AA1DA2">
        <w:t>.</w:t>
      </w:r>
    </w:p>
    <w:p w14:paraId="24B09913" w14:textId="0BA415D7" w:rsidR="00E61EDA" w:rsidRPr="00AA1DA2" w:rsidRDefault="00E61EDA" w:rsidP="00AA1DA2">
      <w:pPr>
        <w:pStyle w:val="BodyText"/>
      </w:pPr>
      <w:r>
        <w:drawing>
          <wp:inline distT="0" distB="0" distL="0" distR="0" wp14:anchorId="30E6975F" wp14:editId="64CA8A74">
            <wp:extent cx="4707890" cy="2353945"/>
            <wp:effectExtent l="0" t="0" r="0" b="8255"/>
            <wp:docPr id="3" name="Picture 3" descr="An illustration showing a set of scales balanced between a list of service outcomes and affordability outcomes to keep bills as low as possible. The services listed are:&#10;Access to safe and reliable water and sewerage services.&#10;Melbourne’s environment, rivers, creeks and bays are protected and Melbourne Water's greenhouse gas emissions are minimised.&#10;Melbourne remains liveable as it deals with the impacts of climate change and population growth.&#10;Melburnians are empowered to support the design and delivery of service outcomes.&#10;Easy, respectful, responsive and transparent custom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les.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07890" cy="2353945"/>
                    </a:xfrm>
                    <a:prstGeom prst="rect">
                      <a:avLst/>
                    </a:prstGeom>
                    <a:ln>
                      <a:noFill/>
                    </a:ln>
                    <a:extLst>
                      <a:ext uri="{53640926-AAD7-44D8-BBD7-CCE9431645EC}">
                        <a14:shadowObscured xmlns:a14="http://schemas.microsoft.com/office/drawing/2010/main"/>
                      </a:ext>
                    </a:extLst>
                  </pic:spPr>
                </pic:pic>
              </a:graphicData>
            </a:graphic>
          </wp:inline>
        </w:drawing>
      </w:r>
    </w:p>
    <w:p w14:paraId="5A2F2A91" w14:textId="5D626551" w:rsidR="00A05E2F" w:rsidRPr="00846327" w:rsidRDefault="009A0CAC" w:rsidP="00AA1DA2">
      <w:pPr>
        <w:pStyle w:val="Heading2"/>
      </w:pPr>
      <w:bookmarkStart w:id="51" w:name="_Toc55905508"/>
      <w:r>
        <w:t>Access to s</w:t>
      </w:r>
      <w:r w:rsidR="00A05E2F" w:rsidRPr="00846327">
        <w:t>afe and reliable water and sewerage services</w:t>
      </w:r>
      <w:bookmarkEnd w:id="51"/>
    </w:p>
    <w:p w14:paraId="5E80DC82" w14:textId="77777777" w:rsidR="00A05E2F" w:rsidRPr="00846327" w:rsidRDefault="00A05E2F" w:rsidP="00AA1DA2">
      <w:pPr>
        <w:pStyle w:val="Heading3"/>
      </w:pPr>
      <w:r w:rsidRPr="00846327">
        <w:t>You value</w:t>
      </w:r>
    </w:p>
    <w:p w14:paraId="12D3C347" w14:textId="77777777" w:rsidR="009A0CAC" w:rsidRPr="009A0CAC" w:rsidRDefault="009A0CAC" w:rsidP="009A0CAC">
      <w:pPr>
        <w:pStyle w:val="BodyText"/>
      </w:pPr>
      <w:r w:rsidRPr="009A0CAC">
        <w:t>Water and sewerage are viewed as our core business, and as highly-valued services essential to Melbourne’s status as a liveable, prosperous city. Households and businesses clearly and consistently expressed their desire for continued access to safe and reliable services – now and into the future.</w:t>
      </w:r>
    </w:p>
    <w:p w14:paraId="60F73CCE" w14:textId="77777777" w:rsidR="009A0CAC" w:rsidRPr="009A0CAC" w:rsidRDefault="009A0CAC" w:rsidP="009A0CAC">
      <w:pPr>
        <w:pStyle w:val="BodyText"/>
      </w:pPr>
      <w:r w:rsidRPr="009A0CAC">
        <w:t>The community wished to see strong forward-planning for Melbourne’s growing needs and considered action on key issues. Water quality and security were top-of-mind issues, and there was appetite for greater use of recycled water and stormwater to make the most of resources. People also recognised the role of sewerage in protecting the environment and public health, and supported resilience in the system to cope with future challenges.</w:t>
      </w:r>
    </w:p>
    <w:p w14:paraId="4DDEB205" w14:textId="77777777" w:rsidR="009E74FD" w:rsidRDefault="009E74FD" w:rsidP="009E74FD">
      <w:pPr>
        <w:pStyle w:val="PullBoxQuote"/>
      </w:pPr>
      <w:r>
        <w:t>“This is Melbourne Water’s core business. This is what I most expect from them and it is the most important.”</w:t>
      </w:r>
    </w:p>
    <w:p w14:paraId="736059AE" w14:textId="77777777" w:rsidR="009E74FD" w:rsidRDefault="009E74FD" w:rsidP="009E74FD">
      <w:pPr>
        <w:pStyle w:val="PullBoxQuote"/>
      </w:pPr>
      <w:r>
        <w:t>“Supplying high quality water and sewerage is imperative to our good health and survival.”</w:t>
      </w:r>
    </w:p>
    <w:p w14:paraId="07E485A7" w14:textId="77777777" w:rsidR="009A0CAC" w:rsidRPr="009A0CAC" w:rsidRDefault="009A0CAC" w:rsidP="009A0CAC">
      <w:pPr>
        <w:pStyle w:val="Heading3"/>
      </w:pPr>
      <w:r w:rsidRPr="009A0CAC">
        <w:t>We heard and will act</w:t>
      </w:r>
    </w:p>
    <w:p w14:paraId="64E810D6" w14:textId="77777777" w:rsidR="009A0CAC" w:rsidRPr="009A0CAC" w:rsidRDefault="009A0CAC" w:rsidP="009A0CAC">
      <w:pPr>
        <w:pStyle w:val="BodyText"/>
        <w:rPr>
          <w:bCs/>
        </w:rPr>
      </w:pPr>
      <w:r w:rsidRPr="009A0CAC">
        <w:rPr>
          <w:bCs/>
        </w:rPr>
        <w:t>We’ll maintain our high-quality standards, now and into the future, by looking after our existing assets, adding capacity for future Melburnians and planning for the long term. Our actions will:</w:t>
      </w:r>
    </w:p>
    <w:p w14:paraId="35DAD249" w14:textId="77777777" w:rsidR="009A0CAC" w:rsidRPr="008F6B51" w:rsidRDefault="009A0CAC" w:rsidP="009A0CAC">
      <w:pPr>
        <w:pStyle w:val="ListBullet"/>
        <w:rPr>
          <w:noProof/>
        </w:rPr>
      </w:pPr>
      <w:r w:rsidRPr="008F6B51">
        <w:rPr>
          <w:noProof/>
        </w:rPr>
        <w:lastRenderedPageBreak/>
        <w:t xml:space="preserve">Maintain the assets we have through monitoring, inspection and maintenance. We’ll also undertake major renewals to our sewerage system – parts of which are over a century old, through projects like the Hobsons Bay Main Yarra crossing duplication, which will prevent critical assets from failing.  </w:t>
      </w:r>
    </w:p>
    <w:p w14:paraId="26C20D9E" w14:textId="77777777" w:rsidR="009A0CAC" w:rsidRPr="008F6B51" w:rsidRDefault="009A0CAC" w:rsidP="009A0CAC">
      <w:pPr>
        <w:pStyle w:val="ListBullet"/>
        <w:rPr>
          <w:noProof/>
        </w:rPr>
      </w:pPr>
      <w:r w:rsidRPr="008F6B51">
        <w:rPr>
          <w:noProof/>
        </w:rPr>
        <w:t>Make sure our water is safe, through new measures to protect our catchments from bushfires and human and animal contamination. We’ll also upgrade key assets, like the catch drains protecting Cardinia Reservoir from polluted runoff and the Winneke Water Treatment Plant UV disinfection system.</w:t>
      </w:r>
    </w:p>
    <w:p w14:paraId="7D912ABB" w14:textId="77777777" w:rsidR="009A0CAC" w:rsidRPr="008F6B51" w:rsidRDefault="009A0CAC" w:rsidP="009A0CAC">
      <w:pPr>
        <w:pStyle w:val="ListBullet"/>
        <w:rPr>
          <w:noProof/>
        </w:rPr>
      </w:pPr>
      <w:r w:rsidRPr="008F6B51">
        <w:rPr>
          <w:noProof/>
        </w:rPr>
        <w:t>Support a growing population by extending our water transfer system to the north, west and southeast, through projects such as the Yan Yean to Bald Hill Pipeline, Mt Atkinson Service Reservoir and Inlet Pipeline, and Yan Yean Pump Station. We’ll also increase the capacity of our sewerage system, through projects such as the Maribyrnong Main Sewer augmentation.</w:t>
      </w:r>
    </w:p>
    <w:p w14:paraId="45213AF3" w14:textId="77777777" w:rsidR="009A0CAC" w:rsidRPr="009A0CAC" w:rsidRDefault="009A0CAC" w:rsidP="009A0CAC">
      <w:pPr>
        <w:pStyle w:val="ListBullet"/>
        <w:rPr>
          <w:noProof/>
        </w:rPr>
      </w:pPr>
      <w:r w:rsidRPr="008F6B51">
        <w:rPr>
          <w:noProof/>
        </w:rPr>
        <w:t>Secure long-term water supplies, by continuing to support water conservation initiatives and making the most of current resources – like using the Victorian Desalination Plant and reactivating the Yan Yean Water Treatment Plant. We’ll also add new water supplies from Cement Creek, support greater use of recycled water, and explore opportuniti</w:t>
      </w:r>
      <w:r w:rsidRPr="009A0CAC">
        <w:rPr>
          <w:noProof/>
        </w:rPr>
        <w:t xml:space="preserve">es to develop stormwater-based supplies with our partners. </w:t>
      </w:r>
    </w:p>
    <w:p w14:paraId="26DF4F3A" w14:textId="77777777" w:rsidR="009A0CAC" w:rsidRPr="009A0CAC" w:rsidRDefault="009A0CAC" w:rsidP="009A0CAC">
      <w:pPr>
        <w:pStyle w:val="Heading3"/>
      </w:pPr>
      <w:r w:rsidRPr="009A0CAC">
        <w:t>Our commitment</w:t>
      </w:r>
    </w:p>
    <w:p w14:paraId="784E74C1" w14:textId="77777777" w:rsidR="009E74FD" w:rsidRDefault="009A0CAC" w:rsidP="009A0CAC">
      <w:pPr>
        <w:pStyle w:val="ListBullet"/>
        <w:rPr>
          <w:noProof/>
        </w:rPr>
      </w:pPr>
      <w:r>
        <w:rPr>
          <w:noProof/>
        </w:rPr>
        <w:t xml:space="preserve">0 non-compliances with the </w:t>
      </w:r>
      <w:r w:rsidRPr="009A0CAC">
        <w:rPr>
          <w:i/>
          <w:noProof/>
        </w:rPr>
        <w:t>Safe Drinking Water Act 2003</w:t>
      </w:r>
    </w:p>
    <w:p w14:paraId="3478B346" w14:textId="26BB3E36" w:rsidR="009A0CAC" w:rsidRDefault="009A0CAC" w:rsidP="009E74FD">
      <w:pPr>
        <w:pStyle w:val="ListContinue"/>
        <w:rPr>
          <w:noProof/>
        </w:rPr>
      </w:pPr>
      <w:r>
        <w:rPr>
          <w:noProof/>
        </w:rPr>
        <w:t>We’ll supply high-quality drinking water that meets stringent standards for risk management and public health.</w:t>
      </w:r>
    </w:p>
    <w:p w14:paraId="02233512" w14:textId="77777777" w:rsidR="009E74FD" w:rsidRDefault="009A0CAC" w:rsidP="009A0CAC">
      <w:pPr>
        <w:pStyle w:val="ListBullet"/>
        <w:rPr>
          <w:noProof/>
        </w:rPr>
      </w:pPr>
      <w:r>
        <w:rPr>
          <w:noProof/>
        </w:rPr>
        <w:t>99.9% retail water co</w:t>
      </w:r>
      <w:r w:rsidR="009E74FD">
        <w:rPr>
          <w:noProof/>
        </w:rPr>
        <w:t>mpany pressure requirements met</w:t>
      </w:r>
    </w:p>
    <w:p w14:paraId="6069AC1F" w14:textId="672E9BFD" w:rsidR="009A0CAC" w:rsidRDefault="009A0CAC" w:rsidP="009E74FD">
      <w:pPr>
        <w:pStyle w:val="ListContinue"/>
        <w:rPr>
          <w:noProof/>
        </w:rPr>
      </w:pPr>
      <w:r>
        <w:rPr>
          <w:noProof/>
        </w:rPr>
        <w:t>We’ll provide an uninterrupted supply of water to homes and businesses, as specified in our agreements with your water company.</w:t>
      </w:r>
    </w:p>
    <w:p w14:paraId="6F0E358D" w14:textId="77777777" w:rsidR="009E74FD" w:rsidRDefault="009A0CAC" w:rsidP="009A0CAC">
      <w:pPr>
        <w:pStyle w:val="ListBullet"/>
        <w:rPr>
          <w:noProof/>
        </w:rPr>
      </w:pPr>
      <w:r>
        <w:rPr>
          <w:noProof/>
        </w:rPr>
        <w:t xml:space="preserve">0 sewerage spills </w:t>
      </w:r>
      <w:r w:rsidR="009E74FD">
        <w:rPr>
          <w:noProof/>
        </w:rPr>
        <w:t>per annum due to system failure</w:t>
      </w:r>
    </w:p>
    <w:p w14:paraId="5B49558C" w14:textId="38033B7E" w:rsidR="009A0CAC" w:rsidRDefault="009A0CAC" w:rsidP="009E74FD">
      <w:pPr>
        <w:pStyle w:val="ListContinue"/>
        <w:rPr>
          <w:noProof/>
        </w:rPr>
      </w:pPr>
      <w:r>
        <w:rPr>
          <w:noProof/>
        </w:rPr>
        <w:t>We’ll ensure our sewerage system performs reliably to protect local rivers and creeks from spills.</w:t>
      </w:r>
    </w:p>
    <w:p w14:paraId="60EF4FD6" w14:textId="77777777" w:rsidR="009A0CAC" w:rsidRPr="009A0CAC" w:rsidRDefault="009A0CAC" w:rsidP="009A0CAC">
      <w:pPr>
        <w:pStyle w:val="Heading2"/>
      </w:pPr>
      <w:bookmarkStart w:id="52" w:name="_Toc52456181"/>
      <w:bookmarkStart w:id="53" w:name="_Toc55905509"/>
      <w:r w:rsidRPr="009A0CAC">
        <w:t>Melbourne’s environment, rivers, creeks and bays are protected and Melbourne Water’s greenhouse gas emissions are minimised</w:t>
      </w:r>
      <w:bookmarkStart w:id="54" w:name="_Toc39007454"/>
      <w:bookmarkEnd w:id="52"/>
      <w:bookmarkEnd w:id="53"/>
    </w:p>
    <w:p w14:paraId="57D6AA92" w14:textId="77777777" w:rsidR="009A0CAC" w:rsidRPr="009A0CAC" w:rsidRDefault="009A0CAC" w:rsidP="009A0CAC">
      <w:pPr>
        <w:pStyle w:val="Heading3"/>
      </w:pPr>
      <w:r w:rsidRPr="009A0CAC">
        <w:t xml:space="preserve">You </w:t>
      </w:r>
      <w:bookmarkEnd w:id="54"/>
      <w:r w:rsidRPr="009A0CAC">
        <w:t>value</w:t>
      </w:r>
    </w:p>
    <w:p w14:paraId="615A771B" w14:textId="77777777" w:rsidR="009A0CAC" w:rsidRPr="009A0CAC" w:rsidRDefault="009A0CAC" w:rsidP="009A0CAC">
      <w:pPr>
        <w:pStyle w:val="BodyText"/>
      </w:pPr>
      <w:r w:rsidRPr="009A0CAC">
        <w:t>Our region’s natural environment is intrinsically valued by Melburnians. People recognise the important role of our waterways in providing natural habitat and supporting community wellbeing, by offering a place to exercise and connect with nature – which was increasingly valued during COVID-19 social restrictions.</w:t>
      </w:r>
    </w:p>
    <w:p w14:paraId="66983F5E" w14:textId="77777777" w:rsidR="009A0CAC" w:rsidRPr="009A0CAC" w:rsidRDefault="009A0CAC" w:rsidP="009A0CAC">
      <w:pPr>
        <w:pStyle w:val="BodyText"/>
      </w:pPr>
      <w:r w:rsidRPr="009A0CAC">
        <w:t>The community has expressed a strong desire for us to continue protecting the environment and proactively address key issues like climate change. This includes our work to protect Melbourne’s waterways, wetlands and estuaries, which received strong and consistent support. It also includes minimising the direct and indirect impacts of our water and sewerage services, as well as the impact of stormwater on our waterways, and exploring opportunities to reuse this resource.</w:t>
      </w:r>
    </w:p>
    <w:p w14:paraId="7D9D3709" w14:textId="77777777" w:rsidR="00A00677" w:rsidRDefault="00A00677" w:rsidP="00A00677">
      <w:pPr>
        <w:pStyle w:val="PullBoxQuote"/>
      </w:pPr>
      <w:r>
        <w:t>“Clean rivers and waterways do improve our standard of living.”</w:t>
      </w:r>
    </w:p>
    <w:p w14:paraId="135546EA" w14:textId="77777777" w:rsidR="00A00677" w:rsidRDefault="00A00677" w:rsidP="00A00677">
      <w:pPr>
        <w:pStyle w:val="PullBoxQuote"/>
      </w:pPr>
      <w:r>
        <w:t>“We all depend on our environment, our rivers, creeks and bays, for our survival and for our quality of life.”</w:t>
      </w:r>
    </w:p>
    <w:p w14:paraId="79C3DCF3" w14:textId="77777777" w:rsidR="009A0CAC" w:rsidRPr="009A0CAC" w:rsidRDefault="009A0CAC" w:rsidP="009A0CAC">
      <w:pPr>
        <w:pStyle w:val="Heading3"/>
      </w:pPr>
      <w:r w:rsidRPr="009A0CAC">
        <w:t>We heard and will act</w:t>
      </w:r>
    </w:p>
    <w:p w14:paraId="6A005461" w14:textId="77777777" w:rsidR="009A0CAC" w:rsidRPr="008F6B51" w:rsidRDefault="009A0CAC" w:rsidP="009A0CAC">
      <w:pPr>
        <w:pStyle w:val="BodyText"/>
      </w:pPr>
      <w:r w:rsidRPr="009A0CAC">
        <w:t>We’ll continue protecting the health of Melbourne’s waterways and managing our sewage treatment processes to meet</w:t>
      </w:r>
      <w:r w:rsidRPr="008F6B51">
        <w:t xml:space="preserve"> regulatory and environmental obligations – while minimising our greenhouse gas emissions. Our actions will:</w:t>
      </w:r>
    </w:p>
    <w:p w14:paraId="29B2020E" w14:textId="77777777" w:rsidR="009A0CAC" w:rsidRPr="008F6B51" w:rsidRDefault="009A0CAC" w:rsidP="009A0CAC">
      <w:pPr>
        <w:pStyle w:val="ListBullet"/>
        <w:rPr>
          <w:noProof/>
        </w:rPr>
      </w:pPr>
      <w:r w:rsidRPr="008F6B51">
        <w:rPr>
          <w:noProof/>
        </w:rPr>
        <w:lastRenderedPageBreak/>
        <w:t>Protect the condition of waterways, estuaries and natural wetlands by investing in vegetation for the environment. We’ll also continue managing pests and invasive species on our land to protect sites of biodiversity significance, and strategically target litter to achieve a greater impact.</w:t>
      </w:r>
    </w:p>
    <w:p w14:paraId="2D058D62" w14:textId="77777777" w:rsidR="009A0CAC" w:rsidRPr="008F6B51" w:rsidRDefault="009A0CAC" w:rsidP="009A0CAC">
      <w:pPr>
        <w:pStyle w:val="ListBullet"/>
        <w:rPr>
          <w:noProof/>
        </w:rPr>
      </w:pPr>
      <w:r w:rsidRPr="008F6B51">
        <w:rPr>
          <w:noProof/>
        </w:rPr>
        <w:t>Capture more stormwater to prevent it from entering waterways while providing an another source of water. We’ll invest an extra $96 million to capture up to 8 billion litres, and continue providing support and incentives to help industry partners implement stormwater harvesting and infiltration projects.</w:t>
      </w:r>
    </w:p>
    <w:p w14:paraId="490DA837" w14:textId="77777777" w:rsidR="009A0CAC" w:rsidRPr="008F6B51" w:rsidRDefault="009A0CAC" w:rsidP="009A0CAC">
      <w:pPr>
        <w:pStyle w:val="ListBullet"/>
        <w:rPr>
          <w:noProof/>
        </w:rPr>
      </w:pPr>
      <w:r w:rsidRPr="008F6B51">
        <w:rPr>
          <w:noProof/>
        </w:rPr>
        <w:t>Continue protecting our bays by maintaining our sewerage standards while treating more sewage than ever before. Maintenance, renewals and major upgrades at our treatment plants will continue effectively removing contaminants from wastewater released to the bay, even as Melbourne grows.</w:t>
      </w:r>
    </w:p>
    <w:p w14:paraId="2BFB27FD" w14:textId="77777777" w:rsidR="009A0CAC" w:rsidRPr="008F6B51" w:rsidRDefault="009A0CAC" w:rsidP="009A0CAC">
      <w:pPr>
        <w:pStyle w:val="ListBullet"/>
        <w:rPr>
          <w:noProof/>
        </w:rPr>
      </w:pPr>
      <w:r w:rsidRPr="008F6B51">
        <w:rPr>
          <w:noProof/>
        </w:rPr>
        <w:t>Manage our stockpile of biosolids (a by-product of sewage treatment), by partnering with local farmers and finding new opportunities for reuse in industries like agriculture and forestry.</w:t>
      </w:r>
    </w:p>
    <w:p w14:paraId="5D39DEDD" w14:textId="77777777" w:rsidR="009A0CAC" w:rsidRPr="009A0CAC" w:rsidRDefault="009A0CAC" w:rsidP="009A0CAC">
      <w:pPr>
        <w:pStyle w:val="ListBullet"/>
        <w:rPr>
          <w:noProof/>
        </w:rPr>
      </w:pPr>
      <w:r w:rsidRPr="008F6B51">
        <w:rPr>
          <w:noProof/>
        </w:rPr>
        <w:t>Meet our greenhouse gas emission targets by upgrading and renewing infrastructure at our sewage treatment plants to capture more sewage gas and convert it into electricity on site. We’ll also purchase carbon credits to offset our direct emissions, and develop a carbon</w:t>
      </w:r>
      <w:r w:rsidRPr="009A0CAC">
        <w:rPr>
          <w:noProof/>
        </w:rPr>
        <w:t xml:space="preserve"> forestry project to self-generate local offsets.</w:t>
      </w:r>
    </w:p>
    <w:p w14:paraId="1027A8D8" w14:textId="77777777" w:rsidR="009A0CAC" w:rsidRPr="009A0CAC" w:rsidRDefault="009A0CAC" w:rsidP="009A0CAC">
      <w:pPr>
        <w:pStyle w:val="Heading3"/>
      </w:pPr>
      <w:r w:rsidRPr="009A0CAC">
        <w:t>Our commitment</w:t>
      </w:r>
    </w:p>
    <w:p w14:paraId="496DAD72" w14:textId="77777777" w:rsidR="009E74FD" w:rsidRDefault="009A0CAC" w:rsidP="009E74FD">
      <w:pPr>
        <w:pStyle w:val="ListBullet"/>
      </w:pPr>
      <w:r w:rsidRPr="009E74FD">
        <w:t>100% of ten target river sites maintained in high condition</w:t>
      </w:r>
    </w:p>
    <w:p w14:paraId="57A9393E" w14:textId="793034FC" w:rsidR="009A0CAC" w:rsidRPr="009E74FD" w:rsidRDefault="009A0CAC" w:rsidP="009E74FD">
      <w:pPr>
        <w:pStyle w:val="ListContinue"/>
      </w:pPr>
      <w:r w:rsidRPr="009E74FD">
        <w:t>We’ll maintain the health of target river sites in high or very high condition, as measured through the abundance and diversity of macroinvertebrates (waterbugs). We have significant long-term data on macroinvertebrates, which are sensitive to pollution and an excellent indicator of river health.</w:t>
      </w:r>
    </w:p>
    <w:p w14:paraId="0E0800E4" w14:textId="77777777" w:rsidR="009E74FD" w:rsidRDefault="009A0CAC" w:rsidP="009E74FD">
      <w:pPr>
        <w:pStyle w:val="ListBullet"/>
      </w:pPr>
      <w:r w:rsidRPr="009E74FD">
        <w:t xml:space="preserve">100% </w:t>
      </w:r>
      <w:r w:rsidR="009E74FD" w:rsidRPr="009E74FD">
        <w:t>s</w:t>
      </w:r>
      <w:r w:rsidRPr="009E74FD">
        <w:t>ewage treatment plant discharge compliance</w:t>
      </w:r>
    </w:p>
    <w:p w14:paraId="104E1A50" w14:textId="25677BE0" w:rsidR="009A0CAC" w:rsidRPr="009E74FD" w:rsidRDefault="009A0CAC" w:rsidP="009E74FD">
      <w:pPr>
        <w:pStyle w:val="ListContinue"/>
      </w:pPr>
      <w:r w:rsidRPr="009E74FD">
        <w:t>We’ll ensure our treatment plants meet EPA Victoria discharge requirements, producing highly-treated effluent that preserves the health of receiving waters in our bays.</w:t>
      </w:r>
    </w:p>
    <w:p w14:paraId="269F9FA6" w14:textId="77777777" w:rsidR="009E74FD" w:rsidRDefault="009E74FD" w:rsidP="009E74FD">
      <w:pPr>
        <w:pStyle w:val="ListBullet"/>
      </w:pPr>
      <w:r w:rsidRPr="009E74FD">
        <w:rPr>
          <w:rFonts w:hint="eastAsia"/>
        </w:rPr>
        <w:t xml:space="preserve">At least </w:t>
      </w:r>
      <w:r w:rsidR="009A0CAC" w:rsidRPr="009E74FD">
        <w:t xml:space="preserve">40% </w:t>
      </w:r>
      <w:r w:rsidRPr="009E74FD">
        <w:t>a</w:t>
      </w:r>
      <w:r w:rsidR="009A0CAC" w:rsidRPr="009E74FD">
        <w:t>nnual re-use of biosolids</w:t>
      </w:r>
    </w:p>
    <w:p w14:paraId="683A66CE" w14:textId="050B8951" w:rsidR="009A0CAC" w:rsidRPr="009E74FD" w:rsidRDefault="009A0CAC" w:rsidP="009E74FD">
      <w:pPr>
        <w:pStyle w:val="ListContinue"/>
      </w:pPr>
      <w:r w:rsidRPr="009E74FD">
        <w:t>We’ll aim to reuse 40 percent of biosolids produced at the Western Treatment Plant by 2025.</w:t>
      </w:r>
    </w:p>
    <w:p w14:paraId="33EE8005" w14:textId="71F2A639" w:rsidR="009E74FD" w:rsidRDefault="009E74FD" w:rsidP="009E74FD">
      <w:pPr>
        <w:pStyle w:val="ListBullet"/>
      </w:pPr>
      <w:r>
        <w:rPr>
          <w:rFonts w:hint="eastAsia"/>
        </w:rPr>
        <w:t xml:space="preserve">Less than or equal to </w:t>
      </w:r>
      <w:r w:rsidR="009A0CAC" w:rsidRPr="009E74FD">
        <w:t xml:space="preserve">204.38 </w:t>
      </w:r>
      <w:r w:rsidRPr="009E74FD">
        <w:t>k</w:t>
      </w:r>
      <w:r w:rsidR="009A0CAC" w:rsidRPr="009E74FD">
        <w:t>ilotonnes carbon dioxide equivalent of greenhouse gases emitted</w:t>
      </w:r>
    </w:p>
    <w:p w14:paraId="774C6649" w14:textId="1AA12AAA" w:rsidR="009A0CAC" w:rsidRPr="009E74FD" w:rsidRDefault="009A0CAC" w:rsidP="009E74FD">
      <w:pPr>
        <w:pStyle w:val="ListContinue"/>
      </w:pPr>
      <w:r w:rsidRPr="009E74FD">
        <w:t>We’ll reduce our emissions in line with our Carbon Pledge, with a target to halve emissions by 2025 and eliminate them by 2030.</w:t>
      </w:r>
    </w:p>
    <w:p w14:paraId="28D5BF22" w14:textId="02CC9400" w:rsidR="00A05E2F" w:rsidRDefault="00A05E2F" w:rsidP="00AA1DA2">
      <w:pPr>
        <w:pStyle w:val="Heading2"/>
      </w:pPr>
      <w:bookmarkStart w:id="55" w:name="_Toc55905510"/>
      <w:r>
        <w:t xml:space="preserve">Melbourne remains liveable as it deals with </w:t>
      </w:r>
      <w:r w:rsidR="00A00677">
        <w:t xml:space="preserve">the impacts of </w:t>
      </w:r>
      <w:r>
        <w:t>climate change and population growth</w:t>
      </w:r>
      <w:bookmarkEnd w:id="55"/>
    </w:p>
    <w:p w14:paraId="2B125172" w14:textId="77777777" w:rsidR="00A05E2F" w:rsidRDefault="00A05E2F" w:rsidP="00AA1DA2">
      <w:pPr>
        <w:pStyle w:val="Heading3"/>
      </w:pPr>
      <w:r>
        <w:t>You value</w:t>
      </w:r>
    </w:p>
    <w:p w14:paraId="27418BA6" w14:textId="77777777" w:rsidR="00A00677" w:rsidRPr="00A00677" w:rsidRDefault="00A00677" w:rsidP="00A00677">
      <w:pPr>
        <w:pStyle w:val="BodyText"/>
      </w:pPr>
      <w:r w:rsidRPr="00A00677">
        <w:t>The community has consistently regarded climate change and population growth as our two greatest challenges, and a threat to Melbourne’s ongoing liveability. Rising sea levels and more frequent and intense storms increase flood risk to communities and the environment, while more stormwater runs off roofs and roads as our city expands. This growth also results in more demand for public green spaces, like waterways, for recreation.</w:t>
      </w:r>
    </w:p>
    <w:p w14:paraId="1897219E" w14:textId="650FD90F" w:rsidR="00A00677" w:rsidRPr="00A00677" w:rsidRDefault="00A00677" w:rsidP="00A00677">
      <w:pPr>
        <w:pStyle w:val="BodyText"/>
      </w:pPr>
      <w:r w:rsidRPr="00A00677">
        <w:t>Both urban and rural households supported greater efforts to minimise flood damage and to ensure communities are better prepared for the impacts. People widely supported making more natural spaces available for Melburnians to enjoy, expressing a strong affinity with this outcome.</w:t>
      </w:r>
    </w:p>
    <w:p w14:paraId="356A1B29" w14:textId="77777777" w:rsidR="00A00677" w:rsidRPr="00A00677" w:rsidRDefault="00A00677" w:rsidP="00A00677">
      <w:pPr>
        <w:pStyle w:val="PullBoxQuote"/>
      </w:pPr>
      <w:r w:rsidRPr="00A00677">
        <w:t>“As a young person, I am deeply concerned for the future so future-planning to mitigate the effects of climate change and urbanisation is really important to me.”</w:t>
      </w:r>
    </w:p>
    <w:p w14:paraId="42A0CE8F" w14:textId="77777777" w:rsidR="00A00677" w:rsidRPr="00A00677" w:rsidRDefault="00A00677" w:rsidP="00A00677">
      <w:pPr>
        <w:pStyle w:val="PullBoxQuote"/>
      </w:pPr>
      <w:r w:rsidRPr="00A00677">
        <w:lastRenderedPageBreak/>
        <w:t>“Planning for climate change and enhancing the environment are both vital to the future wellbeing of my family and myself.”</w:t>
      </w:r>
    </w:p>
    <w:p w14:paraId="78F17AB8" w14:textId="77777777" w:rsidR="00A00677" w:rsidRPr="00A00677" w:rsidRDefault="00A00677" w:rsidP="003875CB">
      <w:pPr>
        <w:pStyle w:val="Heading3"/>
      </w:pPr>
      <w:bookmarkStart w:id="56" w:name="_Toc55905383"/>
      <w:r w:rsidRPr="00A00677">
        <w:t>We heard and will act</w:t>
      </w:r>
      <w:bookmarkEnd w:id="56"/>
    </w:p>
    <w:p w14:paraId="62FDDA41" w14:textId="77777777" w:rsidR="00A00677" w:rsidRPr="00A00677" w:rsidRDefault="00A00677" w:rsidP="00A00677">
      <w:pPr>
        <w:pStyle w:val="BodyText"/>
      </w:pPr>
      <w:r w:rsidRPr="00A00677">
        <w:t>We’ll reduce flood risk and impacts for those most at risk, and continue opening up our land and enhancing our assets for people to enjoy. Our actions will:</w:t>
      </w:r>
    </w:p>
    <w:p w14:paraId="3FAAE1BB" w14:textId="77777777" w:rsidR="00A00677" w:rsidRPr="00A00677" w:rsidRDefault="00A00677" w:rsidP="00A00677">
      <w:pPr>
        <w:pStyle w:val="ListBullet"/>
        <w:rPr>
          <w:noProof/>
        </w:rPr>
      </w:pPr>
      <w:r w:rsidRPr="00A00677">
        <w:rPr>
          <w:noProof/>
        </w:rPr>
        <w:t>Target flooding in high-risk areas by increasing our flood mitigation and preparedness activities, including education, warnings, land use planning and infrastructure. We’ll also continue maintaining our drainage assets like retarding basins, flood gates and levees.</w:t>
      </w:r>
    </w:p>
    <w:p w14:paraId="19A28EEA" w14:textId="77777777" w:rsidR="00A00677" w:rsidRPr="00A00677" w:rsidRDefault="00A00677" w:rsidP="00A00677">
      <w:pPr>
        <w:pStyle w:val="ListBullet"/>
        <w:rPr>
          <w:noProof/>
        </w:rPr>
      </w:pPr>
      <w:r w:rsidRPr="00A00677">
        <w:rPr>
          <w:noProof/>
        </w:rPr>
        <w:t>Improve amenity and create attractive natural spaces and shade by continuing to invest in vegetation and manage litter and mosquitos.</w:t>
      </w:r>
    </w:p>
    <w:p w14:paraId="0C516188" w14:textId="77777777" w:rsidR="00A00677" w:rsidRPr="00A00677" w:rsidRDefault="00A00677" w:rsidP="00A00677">
      <w:pPr>
        <w:pStyle w:val="ListBullet"/>
        <w:rPr>
          <w:noProof/>
        </w:rPr>
      </w:pPr>
      <w:r w:rsidRPr="00A00677">
        <w:rPr>
          <w:noProof/>
        </w:rPr>
        <w:t>Support access to open space and recreation on our waterways and land. We’ll work with others to build new river platforms for paddling access, turn flood retarding basins into parkland, and transform concrete drains into naturalised waterways.</w:t>
      </w:r>
    </w:p>
    <w:p w14:paraId="7DE105F4" w14:textId="77777777" w:rsidR="00A00677" w:rsidRPr="00A00677" w:rsidRDefault="00A00677" w:rsidP="00A00677">
      <w:pPr>
        <w:pStyle w:val="Heading3"/>
      </w:pPr>
      <w:r w:rsidRPr="00A00677">
        <w:t>Our commitment</w:t>
      </w:r>
    </w:p>
    <w:p w14:paraId="7D430771" w14:textId="77777777" w:rsidR="00A00677" w:rsidRDefault="00A00677" w:rsidP="00A00677">
      <w:pPr>
        <w:pStyle w:val="ListBullet"/>
      </w:pPr>
      <w:r w:rsidRPr="00A00677">
        <w:rPr>
          <w:noProof/>
        </w:rPr>
        <w:t>$725</w:t>
      </w:r>
      <w:r w:rsidRPr="00A00677">
        <w:t>.5</w:t>
      </w:r>
      <w:r>
        <w:t xml:space="preserve"> </w:t>
      </w:r>
      <w:r w:rsidRPr="00A00677">
        <w:t>m</w:t>
      </w:r>
      <w:r>
        <w:t>illion f</w:t>
      </w:r>
      <w:r w:rsidRPr="00A00677">
        <w:t>lood risks reduced for</w:t>
      </w:r>
      <w:r>
        <w:t xml:space="preserve"> </w:t>
      </w:r>
      <w:r w:rsidRPr="00A00677">
        <w:t>customers most at risk</w:t>
      </w:r>
    </w:p>
    <w:p w14:paraId="28651D37" w14:textId="77777777" w:rsidR="00A00677" w:rsidRDefault="00A00677" w:rsidP="00A00677">
      <w:pPr>
        <w:pStyle w:val="ListContinue"/>
      </w:pPr>
      <w:r w:rsidRPr="00A00677">
        <w:t>We’ll reduce the likelihood and</w:t>
      </w:r>
      <w:r>
        <w:t xml:space="preserve"> </w:t>
      </w:r>
      <w:r w:rsidRPr="00A00677">
        <w:t>consequence of flood risks to</w:t>
      </w:r>
      <w:r>
        <w:t xml:space="preserve"> </w:t>
      </w:r>
      <w:r w:rsidRPr="00A00677">
        <w:t>the most vulnerable properties,</w:t>
      </w:r>
      <w:r>
        <w:t xml:space="preserve"> </w:t>
      </w:r>
      <w:r w:rsidRPr="00A00677">
        <w:t>as measured by the average</w:t>
      </w:r>
      <w:r>
        <w:t xml:space="preserve"> </w:t>
      </w:r>
      <w:r w:rsidRPr="00A00677">
        <w:t>cost of annual damages.</w:t>
      </w:r>
    </w:p>
    <w:p w14:paraId="19ADF7E0" w14:textId="6B731704" w:rsidR="00A00677" w:rsidRDefault="00A00677" w:rsidP="00A00677">
      <w:pPr>
        <w:pStyle w:val="ListBullet"/>
      </w:pPr>
      <w:r w:rsidRPr="00A00677">
        <w:t>100%</w:t>
      </w:r>
      <w:r>
        <w:t xml:space="preserve"> of p</w:t>
      </w:r>
      <w:r w:rsidRPr="00A00677">
        <w:t>rojects activating land or assets</w:t>
      </w:r>
      <w:r>
        <w:t xml:space="preserve"> </w:t>
      </w:r>
      <w:r w:rsidRPr="00A00677">
        <w:t>demonstrate community benefit</w:t>
      </w:r>
    </w:p>
    <w:p w14:paraId="3A951872" w14:textId="70CD93DA" w:rsidR="00A00677" w:rsidRDefault="00A00677" w:rsidP="00A00677">
      <w:pPr>
        <w:pStyle w:val="ListContinue"/>
      </w:pPr>
      <w:r w:rsidRPr="00A00677">
        <w:t>We’ll increase public use of our</w:t>
      </w:r>
      <w:r>
        <w:t xml:space="preserve"> </w:t>
      </w:r>
      <w:r w:rsidRPr="00A00677">
        <w:t>land as valuable open green space,</w:t>
      </w:r>
      <w:r>
        <w:t xml:space="preserve"> </w:t>
      </w:r>
      <w:r w:rsidRPr="00A00677">
        <w:t>measured in terms of community</w:t>
      </w:r>
      <w:r>
        <w:t xml:space="preserve"> </w:t>
      </w:r>
      <w:r w:rsidRPr="00A00677">
        <w:t>benefit: is the community aware of</w:t>
      </w:r>
      <w:r>
        <w:t xml:space="preserve"> </w:t>
      </w:r>
      <w:r w:rsidRPr="00A00677">
        <w:t>the change to the space, and would</w:t>
      </w:r>
      <w:r>
        <w:t xml:space="preserve"> </w:t>
      </w:r>
      <w:r w:rsidRPr="00A00677">
        <w:t>they use it now that it is available?</w:t>
      </w:r>
    </w:p>
    <w:p w14:paraId="54197853" w14:textId="1255C4A2" w:rsidR="00A00677" w:rsidRDefault="00CB32BC" w:rsidP="00CB32BC">
      <w:pPr>
        <w:pStyle w:val="Heading2"/>
      </w:pPr>
      <w:bookmarkStart w:id="57" w:name="_Toc55905511"/>
      <w:r>
        <w:t xml:space="preserve">Melburnians are empowered to support </w:t>
      </w:r>
      <w:r>
        <w:t xml:space="preserve">the design and </w:t>
      </w:r>
      <w:r>
        <w:t>delivery of service outcomes</w:t>
      </w:r>
      <w:bookmarkEnd w:id="57"/>
    </w:p>
    <w:p w14:paraId="31845538" w14:textId="77777777" w:rsidR="00A05E2F" w:rsidRDefault="00A05E2F" w:rsidP="00AA1DA2">
      <w:pPr>
        <w:pStyle w:val="Heading3"/>
      </w:pPr>
      <w:r>
        <w:t>You value</w:t>
      </w:r>
    </w:p>
    <w:p w14:paraId="4956F73F" w14:textId="77777777" w:rsidR="00CB32BC" w:rsidRPr="00831A0F" w:rsidRDefault="00CB32BC" w:rsidP="00CB32BC">
      <w:pPr>
        <w:pStyle w:val="BodyText"/>
      </w:pPr>
      <w:r w:rsidRPr="00831A0F">
        <w:t xml:space="preserve">Our customers strongly supported empowering the community to play a greater role in decisions and services that shape </w:t>
      </w:r>
      <w:r>
        <w:t>Melbourne’s</w:t>
      </w:r>
      <w:r w:rsidRPr="00831A0F">
        <w:t xml:space="preserve"> future liveability. </w:t>
      </w:r>
      <w:r>
        <w:t>They recognised its importance for effectively delivering other outcomes, given the m</w:t>
      </w:r>
      <w:r w:rsidRPr="00831A0F">
        <w:t>any people and organisations</w:t>
      </w:r>
      <w:r>
        <w:t xml:space="preserve"> involved </w:t>
      </w:r>
      <w:r w:rsidRPr="00831A0F">
        <w:t xml:space="preserve">in </w:t>
      </w:r>
      <w:r>
        <w:t xml:space="preserve">aspects of the </w:t>
      </w:r>
      <w:r w:rsidRPr="00831A0F">
        <w:t xml:space="preserve">water cycle and the </w:t>
      </w:r>
      <w:r>
        <w:t>significant</w:t>
      </w:r>
      <w:r w:rsidRPr="00831A0F">
        <w:t xml:space="preserve"> challenges </w:t>
      </w:r>
      <w:r>
        <w:t>we face.</w:t>
      </w:r>
    </w:p>
    <w:p w14:paraId="2858098D" w14:textId="77777777" w:rsidR="00CB32BC" w:rsidRPr="00831A0F" w:rsidRDefault="00CB32BC" w:rsidP="00CB32BC">
      <w:pPr>
        <w:pStyle w:val="BodyText"/>
      </w:pPr>
      <w:r>
        <w:t>There was w</w:t>
      </w:r>
      <w:r w:rsidRPr="00831A0F">
        <w:t xml:space="preserve">holehearted support </w:t>
      </w:r>
      <w:r>
        <w:t xml:space="preserve">for </w:t>
      </w:r>
      <w:r w:rsidRPr="00831A0F">
        <w:t>greater community involvement in, and understanding of</w:t>
      </w:r>
      <w:r>
        <w:t>,</w:t>
      </w:r>
      <w:r w:rsidRPr="00831A0F">
        <w:t xml:space="preserve"> </w:t>
      </w:r>
      <w:r>
        <w:t>waterways</w:t>
      </w:r>
      <w:r w:rsidRPr="00831A0F">
        <w:t xml:space="preserve"> and the role they play in Melbourne’s environment and liveability</w:t>
      </w:r>
      <w:r>
        <w:t xml:space="preserve"> – as well as education on </w:t>
      </w:r>
      <w:r w:rsidRPr="00831A0F">
        <w:t>the water cycle as a whole</w:t>
      </w:r>
      <w:r>
        <w:t>.</w:t>
      </w:r>
      <w:r w:rsidRPr="00831A0F">
        <w:t xml:space="preserve"> </w:t>
      </w:r>
      <w:r>
        <w:t>People also agreed with</w:t>
      </w:r>
      <w:r w:rsidRPr="00831A0F">
        <w:t xml:space="preserve"> the importance of involving </w:t>
      </w:r>
      <w:r>
        <w:t>T</w:t>
      </w:r>
      <w:r w:rsidRPr="00831A0F">
        <w:t xml:space="preserve">raditional </w:t>
      </w:r>
      <w:r>
        <w:t>O</w:t>
      </w:r>
      <w:r w:rsidRPr="00831A0F">
        <w:t xml:space="preserve">wners in waterway management and </w:t>
      </w:r>
      <w:r>
        <w:t xml:space="preserve">acknowledging </w:t>
      </w:r>
      <w:r w:rsidRPr="00831A0F">
        <w:t>cultural values</w:t>
      </w:r>
      <w:r>
        <w:t>.</w:t>
      </w:r>
    </w:p>
    <w:p w14:paraId="02BD7A4C" w14:textId="77777777" w:rsidR="005D1B31" w:rsidRDefault="005D1B31" w:rsidP="005D1B31">
      <w:pPr>
        <w:pStyle w:val="PullBoxQuote"/>
      </w:pPr>
      <w:r>
        <w:t>“</w:t>
      </w:r>
      <w:r>
        <w:t>Knowledge is</w:t>
      </w:r>
      <w:r>
        <w:t xml:space="preserve"> </w:t>
      </w:r>
      <w:r>
        <w:t>power, so the more</w:t>
      </w:r>
      <w:r>
        <w:t xml:space="preserve"> </w:t>
      </w:r>
      <w:r>
        <w:t>understanding you</w:t>
      </w:r>
      <w:r>
        <w:t xml:space="preserve"> </w:t>
      </w:r>
      <w:r>
        <w:t>have, the more</w:t>
      </w:r>
      <w:r>
        <w:t xml:space="preserve"> </w:t>
      </w:r>
      <w:r>
        <w:t>inclined you are</w:t>
      </w:r>
      <w:r>
        <w:t xml:space="preserve"> to understand how </w:t>
      </w:r>
      <w:r>
        <w:t>and why things work.”</w:t>
      </w:r>
    </w:p>
    <w:p w14:paraId="597FEE52" w14:textId="47B19567" w:rsidR="00CB32BC" w:rsidRPr="001231D2" w:rsidRDefault="00CB32BC" w:rsidP="005D1B31">
      <w:pPr>
        <w:pStyle w:val="PullBoxQuote"/>
      </w:pPr>
      <w:r w:rsidRPr="001231D2">
        <w:t>“There are benefits to the community if they understand how their water system works, and education can help reduce maintenance costs and promote responsible water usage.”</w:t>
      </w:r>
    </w:p>
    <w:p w14:paraId="1220A415" w14:textId="77777777" w:rsidR="00A05E2F" w:rsidRDefault="00A05E2F" w:rsidP="00AA1DA2">
      <w:pPr>
        <w:pStyle w:val="Heading3"/>
      </w:pPr>
      <w:r>
        <w:lastRenderedPageBreak/>
        <w:t xml:space="preserve">We </w:t>
      </w:r>
      <w:r w:rsidRPr="00E0056E">
        <w:t>heard</w:t>
      </w:r>
      <w:r>
        <w:t xml:space="preserve"> and will act</w:t>
      </w:r>
    </w:p>
    <w:p w14:paraId="6529A63E" w14:textId="77777777" w:rsidR="005D1B31" w:rsidRPr="005D1B31" w:rsidRDefault="005D1B31" w:rsidP="005D1B31">
      <w:pPr>
        <w:pStyle w:val="BodyText"/>
        <w:rPr>
          <w:bCs/>
        </w:rPr>
      </w:pPr>
      <w:r w:rsidRPr="005D1B31">
        <w:rPr>
          <w:bCs/>
        </w:rPr>
        <w:t>W</w:t>
      </w:r>
      <w:r w:rsidRPr="005D1B31">
        <w:t>e aim to make this part of the way we work, achieving more together than we could on our own through a continued focus on partnerships and education</w:t>
      </w:r>
      <w:r w:rsidRPr="005D1B31">
        <w:rPr>
          <w:bCs/>
        </w:rPr>
        <w:t>. Our actions will:</w:t>
      </w:r>
    </w:p>
    <w:p w14:paraId="09DB900A" w14:textId="77777777" w:rsidR="005D1B31" w:rsidRPr="005D1B31" w:rsidRDefault="005D1B31" w:rsidP="005D1B31">
      <w:pPr>
        <w:pStyle w:val="ListBullet"/>
        <w:rPr>
          <w:noProof/>
        </w:rPr>
      </w:pPr>
      <w:r w:rsidRPr="005D1B31">
        <w:rPr>
          <w:noProof/>
        </w:rPr>
        <w:t>Empower others to improve waterway health and stormwater management, through our partnership programs with landholders, councils, community groups and research organisations. We’ll also co-invest in important pilot projects in stormwater harvesting and infiltration.</w:t>
      </w:r>
    </w:p>
    <w:p w14:paraId="4731783E" w14:textId="77777777" w:rsidR="005D1B31" w:rsidRPr="005D1B31" w:rsidRDefault="005D1B31" w:rsidP="005D1B31">
      <w:pPr>
        <w:pStyle w:val="ListBullet"/>
        <w:rPr>
          <w:noProof/>
        </w:rPr>
      </w:pPr>
      <w:r w:rsidRPr="005D1B31">
        <w:rPr>
          <w:noProof/>
        </w:rPr>
        <w:t xml:space="preserve">Co-design places to interact with nature with the people who use them. We’ll collaborate on transforming creeks and enhancing open spaces through programs like </w:t>
      </w:r>
      <w:r w:rsidRPr="005D1B31">
        <w:rPr>
          <w:i/>
          <w:noProof/>
        </w:rPr>
        <w:t>Reimagining Your Creek</w:t>
      </w:r>
      <w:r w:rsidRPr="005D1B31">
        <w:rPr>
          <w:noProof/>
        </w:rPr>
        <w:t>, and co-contribute to infrastructure enabling better access to waterways.</w:t>
      </w:r>
    </w:p>
    <w:p w14:paraId="4FDECD98" w14:textId="77777777" w:rsidR="005D1B31" w:rsidRPr="005D1B31" w:rsidRDefault="005D1B31" w:rsidP="005D1B31">
      <w:pPr>
        <w:pStyle w:val="ListBullet"/>
        <w:rPr>
          <w:noProof/>
        </w:rPr>
      </w:pPr>
      <w:r w:rsidRPr="005D1B31">
        <w:rPr>
          <w:noProof/>
        </w:rPr>
        <w:t>Improve community water literacy through increased investment in digital education resources to significantly expand their reach. This empowers people to make more informed choices that shape Melbourne’s water future – from household water usage to engagement on transformational longer-term planning decisions.</w:t>
      </w:r>
    </w:p>
    <w:p w14:paraId="31822FB7" w14:textId="77777777" w:rsidR="005D1B31" w:rsidRPr="005D1B31" w:rsidRDefault="005D1B31" w:rsidP="005D1B31">
      <w:pPr>
        <w:pStyle w:val="ListBullet"/>
        <w:rPr>
          <w:noProof/>
        </w:rPr>
      </w:pPr>
      <w:r w:rsidRPr="005D1B31">
        <w:rPr>
          <w:noProof/>
        </w:rPr>
        <w:t xml:space="preserve">Form trusted partnerships with Traditional Owners and promote our region’s ‘living culture’, through partnering on a range of activities and projects and implementing our </w:t>
      </w:r>
      <w:r w:rsidRPr="005D1B31">
        <w:rPr>
          <w:i/>
          <w:noProof/>
        </w:rPr>
        <w:t>Reconciliation Action Plan</w:t>
      </w:r>
      <w:r w:rsidRPr="005D1B31">
        <w:rPr>
          <w:noProof/>
        </w:rPr>
        <w:t>.</w:t>
      </w:r>
    </w:p>
    <w:p w14:paraId="6A6D3DBE" w14:textId="77777777" w:rsidR="005D1B31" w:rsidRPr="005D1B31" w:rsidRDefault="005D1B31" w:rsidP="005D1B31">
      <w:pPr>
        <w:pStyle w:val="ListBullet"/>
        <w:rPr>
          <w:noProof/>
        </w:rPr>
      </w:pPr>
      <w:r w:rsidRPr="005D1B31">
        <w:rPr>
          <w:noProof/>
        </w:rPr>
        <w:t xml:space="preserve">Support delivery of the </w:t>
      </w:r>
      <w:r w:rsidRPr="005D1B31">
        <w:rPr>
          <w:i/>
          <w:noProof/>
        </w:rPr>
        <w:t>Healthy Waterways Strategy</w:t>
      </w:r>
      <w:r w:rsidRPr="005D1B31">
        <w:rPr>
          <w:noProof/>
        </w:rPr>
        <w:t xml:space="preserve"> and its long-term vision for our region’s rivers, estuaries and wetlands. Achieving the strategy relies on working with and leveraging the support of private landholders and other land managers, like councils, through incentives and associated support.</w:t>
      </w:r>
    </w:p>
    <w:p w14:paraId="47C81EFF" w14:textId="4283A400" w:rsidR="00A05E2F" w:rsidRDefault="005D1B31" w:rsidP="00AA1DA2">
      <w:pPr>
        <w:pStyle w:val="Heading3"/>
      </w:pPr>
      <w:r>
        <w:t>Our commitment</w:t>
      </w:r>
    </w:p>
    <w:p w14:paraId="71DA0241" w14:textId="0C8FA5A7" w:rsidR="005D1B31" w:rsidRDefault="005D1B31" w:rsidP="005D1B31">
      <w:pPr>
        <w:pStyle w:val="ListBullet"/>
      </w:pPr>
      <w:r w:rsidRPr="005D1B31">
        <w:t xml:space="preserve">1,000 </w:t>
      </w:r>
      <w:r>
        <w:t xml:space="preserve">projects </w:t>
      </w:r>
      <w:r w:rsidRPr="005D1B31">
        <w:t>/ 830 participants in our waterway incentives programs</w:t>
      </w:r>
    </w:p>
    <w:p w14:paraId="7135BFDB" w14:textId="6BA5919A" w:rsidR="005D1B31" w:rsidRDefault="005D1B31" w:rsidP="005D1B31">
      <w:pPr>
        <w:pStyle w:val="ListContinue"/>
      </w:pPr>
      <w:r w:rsidRPr="005D1B31">
        <w:t xml:space="preserve">We’ll maintain current levels of active participation in our incentives programs to encourage co-investment and support long-term partnerships, achieving outcomes we could not otherwise deliver alone. </w:t>
      </w:r>
    </w:p>
    <w:p w14:paraId="287EFCF4" w14:textId="7A460D42" w:rsidR="005D1B31" w:rsidRDefault="005D1B31" w:rsidP="005D1B31">
      <w:pPr>
        <w:pStyle w:val="ListBullet"/>
      </w:pPr>
      <w:r>
        <w:rPr>
          <w:rFonts w:hint="eastAsia"/>
        </w:rPr>
        <w:t xml:space="preserve">At least </w:t>
      </w:r>
      <w:r w:rsidRPr="005D1B31">
        <w:t xml:space="preserve">75% of the community with at least moderate water literacy </w:t>
      </w:r>
    </w:p>
    <w:p w14:paraId="4F376B4A" w14:textId="26265B08" w:rsidR="005D1B31" w:rsidRPr="005D1B31" w:rsidRDefault="005D1B31" w:rsidP="005D1B31">
      <w:pPr>
        <w:pStyle w:val="ListContinue"/>
      </w:pPr>
      <w:r w:rsidRPr="005D1B31">
        <w:t>We’ll target our education programs to improve water literacy levels from low to moderate (or high), equipping people with the knowledge to contribute to smart water choices.</w:t>
      </w:r>
    </w:p>
    <w:p w14:paraId="07C4FFC5" w14:textId="77777777" w:rsidR="00A05E2F" w:rsidRDefault="00A05E2F" w:rsidP="00AA1DA2">
      <w:pPr>
        <w:pStyle w:val="Heading2"/>
      </w:pPr>
      <w:bookmarkStart w:id="58" w:name="_Toc55905512"/>
      <w:r>
        <w:t>Easy, respectful, responsive and transparent customer service</w:t>
      </w:r>
      <w:bookmarkEnd w:id="58"/>
    </w:p>
    <w:p w14:paraId="2B94D05B" w14:textId="77777777" w:rsidR="00A05E2F" w:rsidRDefault="00A05E2F" w:rsidP="00AA1DA2">
      <w:pPr>
        <w:pStyle w:val="Heading3"/>
      </w:pPr>
      <w:r>
        <w:t>You value</w:t>
      </w:r>
    </w:p>
    <w:p w14:paraId="71299A2D" w14:textId="77777777" w:rsidR="005D1B31" w:rsidRPr="005D1B31" w:rsidRDefault="005D1B31" w:rsidP="005D1B31">
      <w:pPr>
        <w:pStyle w:val="BodyText"/>
      </w:pPr>
      <w:r w:rsidRPr="005D1B31">
        <w:t>Customer expectations are rapidly changing: younger generations are seeking greater organisational transparency and social responsibility, and an era of hyper-connectivity has seen a shift towards personalised, real-time interactions.</w:t>
      </w:r>
    </w:p>
    <w:p w14:paraId="640CA4EF" w14:textId="77777777" w:rsidR="005D1B31" w:rsidRPr="005D1B31" w:rsidRDefault="005D1B31" w:rsidP="005D1B31">
      <w:pPr>
        <w:pStyle w:val="BodyText"/>
      </w:pPr>
      <w:r w:rsidRPr="005D1B31">
        <w:t>Customer service was a consistent theme reflected strongly in the views of the retail water companies. They noted the broader community expects timely communication and engagement, simple and convenient services, and companies that are easy to deal with – a sentiment supported by households and businesses. Customers want a positive experience regardless of the channel they use to communicate with us.</w:t>
      </w:r>
    </w:p>
    <w:p w14:paraId="542056F0" w14:textId="77777777" w:rsidR="005D1B31" w:rsidRPr="005D1B31" w:rsidRDefault="005D1B31" w:rsidP="005D1B31">
      <w:pPr>
        <w:pStyle w:val="Heading3"/>
      </w:pPr>
      <w:r w:rsidRPr="005D1B31">
        <w:t>We heard and will act</w:t>
      </w:r>
    </w:p>
    <w:p w14:paraId="77B42786" w14:textId="41B2E468" w:rsidR="005D1B31" w:rsidRPr="007512D0" w:rsidRDefault="007512D0" w:rsidP="005D1B31">
      <w:pPr>
        <w:pStyle w:val="BodyText"/>
        <w:rPr>
          <w:bCs/>
        </w:rPr>
      </w:pPr>
      <w:r>
        <w:t>We’ll</w:t>
      </w:r>
      <w:r w:rsidR="005D1B31" w:rsidRPr="005D1B31">
        <w:rPr>
          <w:bCs/>
        </w:rPr>
        <w:t xml:space="preserve"> increase our emphasis on </w:t>
      </w:r>
      <w:r>
        <w:rPr>
          <w:bCs/>
        </w:rPr>
        <w:t>providing exceptional experiences throug</w:t>
      </w:r>
      <w:r w:rsidR="005D1B31" w:rsidRPr="005D1B31">
        <w:rPr>
          <w:bCs/>
        </w:rPr>
        <w:t xml:space="preserve">h a renewed focus on customer </w:t>
      </w:r>
      <w:r w:rsidR="005D1B31" w:rsidRPr="007512D0">
        <w:rPr>
          <w:bCs/>
        </w:rPr>
        <w:t>satisfaction and transparency. Our actions will:</w:t>
      </w:r>
    </w:p>
    <w:p w14:paraId="555D46ED" w14:textId="77777777" w:rsidR="005D1B31" w:rsidRPr="007512D0" w:rsidRDefault="005D1B31" w:rsidP="007512D0">
      <w:pPr>
        <w:pStyle w:val="ListBullet"/>
        <w:rPr>
          <w:noProof/>
        </w:rPr>
      </w:pPr>
      <w:r w:rsidRPr="007512D0">
        <w:rPr>
          <w:noProof/>
        </w:rPr>
        <w:t>Focus on trust and transparency, establishing a new customer forum to support ongoing conversations on our performance and customer preferences for the services we provide and how we deliver them.</w:t>
      </w:r>
    </w:p>
    <w:p w14:paraId="7676C6B0" w14:textId="77777777" w:rsidR="005D1B31" w:rsidRPr="007512D0" w:rsidRDefault="005D1B31" w:rsidP="007512D0">
      <w:pPr>
        <w:pStyle w:val="ListBullet"/>
        <w:rPr>
          <w:noProof/>
        </w:rPr>
      </w:pPr>
      <w:r w:rsidRPr="007512D0">
        <w:rPr>
          <w:noProof/>
        </w:rPr>
        <w:lastRenderedPageBreak/>
        <w:t>Adapt our customer service approach to meet changing expectations, by seeking more meaningful ways for our customers to inform our decisions and co-design solutions. We’ll continue embedding best-practice engagement throughout our business and harnessing insights from engagement, research and other feedback processes.</w:t>
      </w:r>
    </w:p>
    <w:p w14:paraId="45B150EA" w14:textId="22F3DF7F" w:rsidR="005D1B31" w:rsidRDefault="005D1B31" w:rsidP="007512D0">
      <w:pPr>
        <w:pStyle w:val="ListBullet"/>
        <w:rPr>
          <w:noProof/>
        </w:rPr>
      </w:pPr>
      <w:r w:rsidRPr="007512D0">
        <w:rPr>
          <w:noProof/>
        </w:rPr>
        <w:t>Provide easy and transparent access to information, evolving a variety of digital to enable more customers from all walks of life to interact with us at their convenience.</w:t>
      </w:r>
    </w:p>
    <w:p w14:paraId="64033A77" w14:textId="2EB6CC52" w:rsidR="00BF5D4D" w:rsidRDefault="00BF5D4D" w:rsidP="00BF5D4D">
      <w:pPr>
        <w:pStyle w:val="PullBoxQuote"/>
      </w:pPr>
      <w:r>
        <w:t>“Transparency is something that we all want and the ability ot communicate with the providers is a way of fostering a long-term relationship between consumer and provider.”</w:t>
      </w:r>
    </w:p>
    <w:p w14:paraId="3E79E7F7" w14:textId="5AA21D5F" w:rsidR="005D1B31" w:rsidRPr="005D1B31" w:rsidRDefault="00BF5D4D" w:rsidP="00BF5D4D">
      <w:pPr>
        <w:pStyle w:val="Heading3"/>
      </w:pPr>
      <w:r>
        <w:t>Our commitmen</w:t>
      </w:r>
      <w:r w:rsidR="005D1B31" w:rsidRPr="005D1B31">
        <w:t>t</w:t>
      </w:r>
    </w:p>
    <w:p w14:paraId="6EFE6C24" w14:textId="26FC9457" w:rsidR="00ED7BDC" w:rsidRPr="00ED7BDC" w:rsidRDefault="00ED7BDC" w:rsidP="00ED7BDC">
      <w:pPr>
        <w:pStyle w:val="ListBullet"/>
      </w:pPr>
      <w:r>
        <w:rPr>
          <w:rFonts w:hint="eastAsia"/>
          <w:bCs/>
          <w:noProof/>
        </w:rPr>
        <w:t xml:space="preserve">At least </w:t>
      </w:r>
      <w:r w:rsidRPr="00ED7BDC">
        <w:rPr>
          <w:bCs/>
          <w:noProof/>
        </w:rPr>
        <w:t>8.3</w:t>
      </w:r>
      <w:r>
        <w:rPr>
          <w:bCs/>
        </w:rPr>
        <w:t xml:space="preserve"> </w:t>
      </w:r>
      <w:r>
        <w:rPr>
          <w:bCs/>
          <w:noProof/>
        </w:rPr>
        <w:t>c</w:t>
      </w:r>
      <w:r w:rsidRPr="00ED7BDC">
        <w:rPr>
          <w:bCs/>
          <w:noProof/>
        </w:rPr>
        <w:t>ustomer satisfaction (CSAT)</w:t>
      </w:r>
      <w:r>
        <w:rPr>
          <w:bCs/>
        </w:rPr>
        <w:t xml:space="preserve"> </w:t>
      </w:r>
      <w:r w:rsidRPr="00ED7BDC">
        <w:rPr>
          <w:rFonts w:hint="eastAsia"/>
          <w:bCs/>
          <w:noProof/>
        </w:rPr>
        <w:t>–</w:t>
      </w:r>
      <w:r w:rsidRPr="00ED7BDC">
        <w:rPr>
          <w:bCs/>
          <w:noProof/>
        </w:rPr>
        <w:t xml:space="preserve"> bulk water services</w:t>
      </w:r>
    </w:p>
    <w:p w14:paraId="5186EFF8" w14:textId="77777777" w:rsidR="00ED7BDC" w:rsidRDefault="00ED7BDC" w:rsidP="00ED7BDC">
      <w:pPr>
        <w:pStyle w:val="ListContinue"/>
      </w:pPr>
      <w:r w:rsidRPr="00ED7BDC">
        <w:rPr>
          <w:noProof/>
        </w:rPr>
        <w:t>We’ll improve customer satisfaction</w:t>
      </w:r>
      <w:r>
        <w:t xml:space="preserve"> </w:t>
      </w:r>
      <w:r w:rsidRPr="00ED7BDC">
        <w:rPr>
          <w:noProof/>
        </w:rPr>
        <w:t>across each of our four core</w:t>
      </w:r>
      <w:r>
        <w:t xml:space="preserve"> </w:t>
      </w:r>
      <w:r w:rsidRPr="00ED7BDC">
        <w:rPr>
          <w:noProof/>
        </w:rPr>
        <w:t>services, as measured by surveys</w:t>
      </w:r>
      <w:r>
        <w:t xml:space="preserve"> </w:t>
      </w:r>
      <w:r w:rsidRPr="00ED7BDC">
        <w:rPr>
          <w:noProof/>
        </w:rPr>
        <w:t>on transparency, ease of doing</w:t>
      </w:r>
      <w:r>
        <w:t xml:space="preserve"> </w:t>
      </w:r>
      <w:r w:rsidRPr="00ED7BDC">
        <w:rPr>
          <w:noProof/>
        </w:rPr>
        <w:t>business and timeliness.</w:t>
      </w:r>
    </w:p>
    <w:p w14:paraId="6C5C6CE8" w14:textId="1A95F91E" w:rsidR="00ED7BDC" w:rsidRPr="00ED7BDC" w:rsidRDefault="00ED7BDC" w:rsidP="00ED7BDC">
      <w:pPr>
        <w:pStyle w:val="ListBullet"/>
      </w:pPr>
      <w:r>
        <w:rPr>
          <w:rFonts w:hint="eastAsia"/>
          <w:bCs/>
          <w:noProof/>
        </w:rPr>
        <w:t xml:space="preserve">At least </w:t>
      </w:r>
      <w:r w:rsidRPr="00ED7BDC">
        <w:rPr>
          <w:bCs/>
          <w:noProof/>
        </w:rPr>
        <w:t>8.3</w:t>
      </w:r>
      <w:r>
        <w:rPr>
          <w:bCs/>
        </w:rPr>
        <w:t xml:space="preserve"> </w:t>
      </w:r>
      <w:r w:rsidRPr="00ED7BDC">
        <w:rPr>
          <w:bCs/>
          <w:noProof/>
        </w:rPr>
        <w:t xml:space="preserve">CSAT </w:t>
      </w:r>
      <w:r w:rsidRPr="00ED7BDC">
        <w:rPr>
          <w:rFonts w:hint="eastAsia"/>
          <w:bCs/>
          <w:noProof/>
        </w:rPr>
        <w:t>–</w:t>
      </w:r>
      <w:r w:rsidRPr="00ED7BDC">
        <w:rPr>
          <w:bCs/>
          <w:noProof/>
        </w:rPr>
        <w:t xml:space="preserve"> bulk sewerage services</w:t>
      </w:r>
    </w:p>
    <w:p w14:paraId="1C32D3AB" w14:textId="0A085BFD" w:rsidR="00ED7BDC" w:rsidRPr="00ED7BDC" w:rsidRDefault="00ED7BDC" w:rsidP="00ED7BDC">
      <w:pPr>
        <w:pStyle w:val="ListBullet"/>
      </w:pPr>
      <w:r>
        <w:rPr>
          <w:rFonts w:hint="eastAsia"/>
          <w:bCs/>
          <w:noProof/>
        </w:rPr>
        <w:t>At lea</w:t>
      </w:r>
      <w:r>
        <w:rPr>
          <w:bCs/>
          <w:noProof/>
        </w:rPr>
        <w:t>s</w:t>
      </w:r>
      <w:r>
        <w:rPr>
          <w:rFonts w:hint="eastAsia"/>
          <w:bCs/>
          <w:noProof/>
        </w:rPr>
        <w:t xml:space="preserve">t </w:t>
      </w:r>
      <w:r w:rsidRPr="00ED7BDC">
        <w:rPr>
          <w:bCs/>
          <w:noProof/>
        </w:rPr>
        <w:t>7.5</w:t>
      </w:r>
      <w:r>
        <w:rPr>
          <w:bCs/>
        </w:rPr>
        <w:t xml:space="preserve"> </w:t>
      </w:r>
      <w:r w:rsidRPr="00ED7BDC">
        <w:rPr>
          <w:bCs/>
          <w:noProof/>
        </w:rPr>
        <w:t xml:space="preserve">CSAT </w:t>
      </w:r>
      <w:r w:rsidRPr="00ED7BDC">
        <w:rPr>
          <w:rFonts w:hint="eastAsia"/>
          <w:bCs/>
          <w:noProof/>
        </w:rPr>
        <w:t>–</w:t>
      </w:r>
      <w:r w:rsidRPr="00ED7BDC">
        <w:rPr>
          <w:bCs/>
          <w:noProof/>
        </w:rPr>
        <w:t xml:space="preserve"> waterways services</w:t>
      </w:r>
    </w:p>
    <w:p w14:paraId="75788EFA" w14:textId="3D00BAF4" w:rsidR="00ED7BDC" w:rsidRDefault="00ED7BDC" w:rsidP="00ED7BDC">
      <w:pPr>
        <w:pStyle w:val="ListBullet"/>
      </w:pPr>
      <w:r>
        <w:rPr>
          <w:rFonts w:hint="eastAsia"/>
          <w:bCs/>
          <w:noProof/>
        </w:rPr>
        <w:t xml:space="preserve">At least </w:t>
      </w:r>
      <w:r w:rsidRPr="00ED7BDC">
        <w:rPr>
          <w:bCs/>
          <w:noProof/>
        </w:rPr>
        <w:t>6.8</w:t>
      </w:r>
      <w:r>
        <w:rPr>
          <w:bCs/>
        </w:rPr>
        <w:t xml:space="preserve"> </w:t>
      </w:r>
      <w:r w:rsidRPr="00ED7BDC">
        <w:rPr>
          <w:bCs/>
        </w:rPr>
        <w:t xml:space="preserve">CSAT </w:t>
      </w:r>
      <w:r w:rsidRPr="00ED7BDC">
        <w:rPr>
          <w:rFonts w:hint="eastAsia"/>
          <w:bCs/>
        </w:rPr>
        <w:t>–</w:t>
      </w:r>
      <w:r w:rsidRPr="00ED7BDC">
        <w:rPr>
          <w:bCs/>
        </w:rPr>
        <w:t xml:space="preserve"> drainage services</w:t>
      </w:r>
    </w:p>
    <w:p w14:paraId="06B7FD10" w14:textId="4A6DE860" w:rsidR="00A05E2F" w:rsidRDefault="00ED7BDC" w:rsidP="00AA1DA2">
      <w:pPr>
        <w:pStyle w:val="Heading2"/>
      </w:pPr>
      <w:bookmarkStart w:id="59" w:name="_Toc55905513"/>
      <w:r>
        <w:t>Bills kept</w:t>
      </w:r>
      <w:r w:rsidR="00A05E2F">
        <w:t xml:space="preserve"> as low as possible</w:t>
      </w:r>
      <w:bookmarkEnd w:id="59"/>
    </w:p>
    <w:p w14:paraId="5B740223" w14:textId="77777777" w:rsidR="00A05E2F" w:rsidRDefault="00A05E2F" w:rsidP="00AA1DA2">
      <w:pPr>
        <w:pStyle w:val="Heading3"/>
      </w:pPr>
      <w:r>
        <w:t>You value</w:t>
      </w:r>
    </w:p>
    <w:p w14:paraId="5533F94A" w14:textId="77777777" w:rsidR="0089701B" w:rsidRPr="0089701B" w:rsidRDefault="0089701B" w:rsidP="0089701B">
      <w:pPr>
        <w:pStyle w:val="BodyText"/>
      </w:pPr>
      <w:r w:rsidRPr="0089701B">
        <w:t>Water utilities and public service providers must continually strive to deliver a growing array of services whilst maintaining their quality and affordability. We understand affordability and financial hardship are key concerns for many members of the community, now more so than ever.</w:t>
      </w:r>
    </w:p>
    <w:p w14:paraId="45EF6652" w14:textId="77777777" w:rsidR="0089701B" w:rsidRPr="0089701B" w:rsidRDefault="0089701B" w:rsidP="0089701B">
      <w:pPr>
        <w:pStyle w:val="BodyText"/>
      </w:pPr>
      <w:r w:rsidRPr="0089701B">
        <w:t xml:space="preserve">Customer affordability and value for money were recurring themes throughout our engagement program. Retail water companies were consistent in their desire to see flat or declining prices, and affordability also featured prominently amongst households and businesses. However, some people were open to the idea of small increases to their bills in exchange for higher levels of service across most of the initiatives tested with them. </w:t>
      </w:r>
    </w:p>
    <w:p w14:paraId="7905A69F" w14:textId="77777777" w:rsidR="00FD5B68" w:rsidRDefault="00FD5B68" w:rsidP="00FD5B68">
      <w:pPr>
        <w:pStyle w:val="PullBoxQuote"/>
      </w:pPr>
      <w:r>
        <w:t>“I would LOVE to keep all my bills as low as possible; however, I believe safe water, and the environment, are more important. If I have to pay a little more to ensure my children and grandchildren live in a cleaner world, then so be it.”</w:t>
      </w:r>
    </w:p>
    <w:p w14:paraId="68D62974" w14:textId="77777777" w:rsidR="00FD5B68" w:rsidRDefault="00FD5B68" w:rsidP="00FD5B68">
      <w:pPr>
        <w:pStyle w:val="PullBoxQuote"/>
      </w:pPr>
      <w:r>
        <w:t xml:space="preserve"> “Everyone has the right to clean drinking water and reliable sewerage service, so it needs to be affordable for all members of society.”</w:t>
      </w:r>
    </w:p>
    <w:p w14:paraId="0C353AD9" w14:textId="77777777" w:rsidR="0089701B" w:rsidRPr="0089701B" w:rsidRDefault="0089701B" w:rsidP="0089701B">
      <w:pPr>
        <w:pStyle w:val="Heading3"/>
      </w:pPr>
      <w:r w:rsidRPr="0089701B">
        <w:t>We heard and will act</w:t>
      </w:r>
    </w:p>
    <w:p w14:paraId="711F4F40" w14:textId="77777777" w:rsidR="0089701B" w:rsidRPr="0089701B" w:rsidRDefault="0089701B" w:rsidP="0089701B">
      <w:pPr>
        <w:pStyle w:val="BodyText"/>
      </w:pPr>
      <w:r w:rsidRPr="0089701B">
        <w:t xml:space="preserve">We’ll keep doing our bit to limit cost of living pressures while fulfilling our service commitments. </w:t>
      </w:r>
      <w:r w:rsidRPr="0089701B">
        <w:rPr>
          <w:bCs/>
        </w:rPr>
        <w:t xml:space="preserve">We will carefully manage our expenditure, </w:t>
      </w:r>
      <w:r w:rsidRPr="0089701B">
        <w:t xml:space="preserve">planning, capital delivery and operations – </w:t>
      </w:r>
      <w:r w:rsidRPr="0089701B">
        <w:rPr>
          <w:bCs/>
        </w:rPr>
        <w:t xml:space="preserve">and increase our focus on transparency and efficiency. </w:t>
      </w:r>
      <w:r w:rsidRPr="0089701B">
        <w:t>Our actions will:</w:t>
      </w:r>
    </w:p>
    <w:p w14:paraId="593041D6" w14:textId="77777777" w:rsidR="0089701B" w:rsidRPr="0089701B" w:rsidRDefault="0089701B" w:rsidP="0089701B">
      <w:pPr>
        <w:pStyle w:val="ListBullet"/>
        <w:rPr>
          <w:noProof/>
        </w:rPr>
      </w:pPr>
      <w:r w:rsidRPr="0089701B">
        <w:rPr>
          <w:noProof/>
        </w:rPr>
        <w:lastRenderedPageBreak/>
        <w:t>Achieve continuous efficiencies in operating expenditure (opex) while supporting a growing population, with base controllable forecasts declining 0.05 percent per year (in real terms) across the five-year Price Submission period.</w:t>
      </w:r>
    </w:p>
    <w:p w14:paraId="2B5A84B0" w14:textId="4B3E90B2" w:rsidR="0089701B" w:rsidRPr="0089701B" w:rsidRDefault="0089701B" w:rsidP="0089701B">
      <w:pPr>
        <w:pStyle w:val="ListBullet"/>
        <w:rPr>
          <w:noProof/>
        </w:rPr>
      </w:pPr>
      <w:r w:rsidRPr="0089701B">
        <w:rPr>
          <w:noProof/>
        </w:rPr>
        <w:t xml:space="preserve">Ensure a prudent and efficient capital program by continuing our robust approach to identifying, prioritising and delivering projects. This has seen us defer $498 million in projects until our next Price Submission, ensuring prices aren’t higher than they need to be. We’ll also </w:t>
      </w:r>
      <w:r w:rsidR="00FD5B68">
        <w:rPr>
          <w:noProof/>
        </w:rPr>
        <w:t xml:space="preserve">push a further $271.3 </w:t>
      </w:r>
      <w:r w:rsidRPr="0089701B">
        <w:rPr>
          <w:noProof/>
        </w:rPr>
        <w:t>million in capital expenditure (capex) into the latter years of our submission – reducing the total revenue we need by $42.9 million.</w:t>
      </w:r>
    </w:p>
    <w:p w14:paraId="4AA11486" w14:textId="26F3C362" w:rsidR="0089701B" w:rsidRPr="0089701B" w:rsidRDefault="0089701B" w:rsidP="0089701B">
      <w:pPr>
        <w:pStyle w:val="ListBullet"/>
        <w:rPr>
          <w:noProof/>
        </w:rPr>
      </w:pPr>
      <w:r w:rsidRPr="0089701B">
        <w:rPr>
          <w:noProof/>
        </w:rPr>
        <w:t>Spread a larger portion of repayments on the Victorian Desalination Plant across the asset’s working life</w:t>
      </w:r>
      <w:r w:rsidR="00FD5B68">
        <w:rPr>
          <w:noProof/>
        </w:rPr>
        <w:t xml:space="preserve">, resulting in a $217 </w:t>
      </w:r>
      <w:r w:rsidRPr="0089701B">
        <w:rPr>
          <w:noProof/>
        </w:rPr>
        <w:t>million reduction.</w:t>
      </w:r>
    </w:p>
    <w:p w14:paraId="209D488D" w14:textId="77777777" w:rsidR="0089701B" w:rsidRPr="0089701B" w:rsidRDefault="0089701B" w:rsidP="0089701B">
      <w:pPr>
        <w:pStyle w:val="ListBullet"/>
        <w:rPr>
          <w:noProof/>
        </w:rPr>
      </w:pPr>
      <w:r w:rsidRPr="0089701B">
        <w:rPr>
          <w:noProof/>
        </w:rPr>
        <w:t>Increase transparency of our expenditure between price submission periods, publishing an annual view of the core drivers of long-term prices within our control.</w:t>
      </w:r>
    </w:p>
    <w:p w14:paraId="4CF503F7" w14:textId="77777777" w:rsidR="0089701B" w:rsidRPr="0089701B" w:rsidRDefault="0089701B" w:rsidP="00FD5B68">
      <w:pPr>
        <w:pStyle w:val="Heading3"/>
      </w:pPr>
      <w:r w:rsidRPr="0089701B">
        <w:t>Our commitment</w:t>
      </w:r>
    </w:p>
    <w:p w14:paraId="7120349E" w14:textId="7C685FB2" w:rsidR="00FD5B68" w:rsidRPr="00FD5B68" w:rsidRDefault="00FD5B68" w:rsidP="00FD5B68">
      <w:pPr>
        <w:pStyle w:val="ListBullet"/>
      </w:pPr>
      <w:r>
        <w:rPr>
          <w:bCs/>
          <w:noProof/>
        </w:rPr>
        <w:t xml:space="preserve">More than </w:t>
      </w:r>
      <w:r w:rsidRPr="00FD5B68">
        <w:rPr>
          <w:bCs/>
          <w:noProof/>
        </w:rPr>
        <w:t>$500</w:t>
      </w:r>
      <w:r>
        <w:rPr>
          <w:bCs/>
          <w:noProof/>
        </w:rPr>
        <w:t>,000</w:t>
      </w:r>
      <w:r>
        <w:rPr>
          <w:bCs/>
        </w:rPr>
        <w:t xml:space="preserve"> in </w:t>
      </w:r>
      <w:r>
        <w:rPr>
          <w:bCs/>
          <w:noProof/>
        </w:rPr>
        <w:t>n</w:t>
      </w:r>
      <w:r w:rsidRPr="00FD5B68">
        <w:rPr>
          <w:bCs/>
          <w:noProof/>
        </w:rPr>
        <w:t>ew net opex benefits identified</w:t>
      </w:r>
      <w:r>
        <w:rPr>
          <w:bCs/>
        </w:rPr>
        <w:t xml:space="preserve"> </w:t>
      </w:r>
      <w:r w:rsidRPr="00FD5B68">
        <w:rPr>
          <w:bCs/>
          <w:noProof/>
        </w:rPr>
        <w:t>and committed each year</w:t>
      </w:r>
    </w:p>
    <w:p w14:paraId="2FF55B85" w14:textId="6B8F3CE6" w:rsidR="00FD5B68" w:rsidRDefault="00FD5B68" w:rsidP="00FD5B68">
      <w:pPr>
        <w:pStyle w:val="ListContinue"/>
      </w:pPr>
      <w:r w:rsidRPr="00FD5B68">
        <w:rPr>
          <w:noProof/>
        </w:rPr>
        <w:t>We’ll identify and implement new</w:t>
      </w:r>
      <w:r>
        <w:t xml:space="preserve"> </w:t>
      </w:r>
      <w:r w:rsidRPr="00FD5B68">
        <w:rPr>
          <w:noProof/>
        </w:rPr>
        <w:t>efficiency projects that deliver</w:t>
      </w:r>
      <w:r>
        <w:t xml:space="preserve"> </w:t>
      </w:r>
      <w:r w:rsidRPr="00FD5B68">
        <w:rPr>
          <w:noProof/>
        </w:rPr>
        <w:t>benefits over and above those</w:t>
      </w:r>
      <w:r>
        <w:t xml:space="preserve"> </w:t>
      </w:r>
      <w:r w:rsidRPr="00FD5B68">
        <w:rPr>
          <w:noProof/>
        </w:rPr>
        <w:t>already committed to in our plan.</w:t>
      </w:r>
    </w:p>
    <w:p w14:paraId="2F30F817" w14:textId="5EFA6CF7" w:rsidR="00FD5B68" w:rsidRPr="00FD5B68" w:rsidRDefault="00FD5B68" w:rsidP="00FD5B68">
      <w:pPr>
        <w:pStyle w:val="ListBullet"/>
      </w:pPr>
      <w:r w:rsidRPr="00FD5B68">
        <w:rPr>
          <w:bCs/>
          <w:noProof/>
        </w:rPr>
        <w:t>5%</w:t>
      </w:r>
      <w:r>
        <w:rPr>
          <w:bCs/>
        </w:rPr>
        <w:t xml:space="preserve"> </w:t>
      </w:r>
      <w:r w:rsidRPr="00FD5B68">
        <w:rPr>
          <w:bCs/>
          <w:noProof/>
        </w:rPr>
        <w:t>Opex aligned to the Essential</w:t>
      </w:r>
      <w:r>
        <w:rPr>
          <w:bCs/>
        </w:rPr>
        <w:t xml:space="preserve"> </w:t>
      </w:r>
      <w:r w:rsidRPr="00FD5B68">
        <w:rPr>
          <w:bCs/>
          <w:noProof/>
        </w:rPr>
        <w:t>Services Commission</w:t>
      </w:r>
      <w:r w:rsidRPr="00FD5B68">
        <w:rPr>
          <w:rFonts w:hint="eastAsia"/>
          <w:bCs/>
          <w:noProof/>
        </w:rPr>
        <w:t>’</w:t>
      </w:r>
      <w:r w:rsidRPr="00FD5B68">
        <w:rPr>
          <w:bCs/>
          <w:noProof/>
        </w:rPr>
        <w:t>s</w:t>
      </w:r>
      <w:r>
        <w:rPr>
          <w:bCs/>
        </w:rPr>
        <w:t xml:space="preserve"> </w:t>
      </w:r>
      <w:r w:rsidRPr="00FD5B68">
        <w:rPr>
          <w:bCs/>
          <w:noProof/>
        </w:rPr>
        <w:t>determination</w:t>
      </w:r>
    </w:p>
    <w:p w14:paraId="36901896" w14:textId="31CD61E2" w:rsidR="00FD5B68" w:rsidRDefault="00FD5B68" w:rsidP="00FD5B68">
      <w:pPr>
        <w:pStyle w:val="ListContinue"/>
      </w:pPr>
      <w:r w:rsidRPr="00FD5B68">
        <w:rPr>
          <w:noProof/>
        </w:rPr>
        <w:t>We’ll provide an annual</w:t>
      </w:r>
      <w:r>
        <w:t xml:space="preserve"> </w:t>
      </w:r>
      <w:r w:rsidRPr="00FD5B68">
        <w:rPr>
          <w:noProof/>
        </w:rPr>
        <w:t>reconciliation of how actual</w:t>
      </w:r>
      <w:r>
        <w:t xml:space="preserve"> </w:t>
      </w:r>
      <w:r w:rsidRPr="00FD5B68">
        <w:rPr>
          <w:noProof/>
        </w:rPr>
        <w:t>operating expenditure is tracking</w:t>
      </w:r>
      <w:r>
        <w:t xml:space="preserve"> </w:t>
      </w:r>
      <w:r w:rsidRPr="00FD5B68">
        <w:t>against</w:t>
      </w:r>
      <w:r w:rsidRPr="00FD5B68">
        <w:rPr>
          <w:noProof/>
        </w:rPr>
        <w:t xml:space="preserve"> forecasts, improving</w:t>
      </w:r>
      <w:r>
        <w:t xml:space="preserve"> </w:t>
      </w:r>
      <w:r w:rsidRPr="00FD5B68">
        <w:rPr>
          <w:noProof/>
        </w:rPr>
        <w:t>transparency of how the next</w:t>
      </w:r>
      <w:r>
        <w:t xml:space="preserve"> </w:t>
      </w:r>
      <w:r w:rsidRPr="00FD5B68">
        <w:rPr>
          <w:noProof/>
        </w:rPr>
        <w:t>Price Submission baseline is</w:t>
      </w:r>
      <w:r>
        <w:t xml:space="preserve"> </w:t>
      </w:r>
      <w:r w:rsidRPr="00FD5B68">
        <w:rPr>
          <w:noProof/>
        </w:rPr>
        <w:t>progressing (actual opex in the</w:t>
      </w:r>
      <w:r>
        <w:t xml:space="preserve"> </w:t>
      </w:r>
      <w:r w:rsidRPr="00FD5B68">
        <w:rPr>
          <w:noProof/>
        </w:rPr>
        <w:t>final year of a submission forms</w:t>
      </w:r>
      <w:r>
        <w:t xml:space="preserve"> </w:t>
      </w:r>
      <w:r w:rsidRPr="00FD5B68">
        <w:rPr>
          <w:noProof/>
        </w:rPr>
        <w:t>a baseline for the next one).</w:t>
      </w:r>
    </w:p>
    <w:p w14:paraId="417A7E13" w14:textId="31BEBD39" w:rsidR="00FD5B68" w:rsidRPr="00FD5B68" w:rsidRDefault="00FD5B68" w:rsidP="00FD5B68">
      <w:pPr>
        <w:pStyle w:val="ListBullet"/>
      </w:pPr>
      <w:r w:rsidRPr="00FD5B68">
        <w:rPr>
          <w:bCs/>
          <w:noProof/>
        </w:rPr>
        <w:t>2%</w:t>
      </w:r>
      <w:r>
        <w:rPr>
          <w:bCs/>
        </w:rPr>
        <w:t xml:space="preserve"> </w:t>
      </w:r>
      <w:r w:rsidRPr="00FD5B68">
        <w:rPr>
          <w:bCs/>
          <w:noProof/>
        </w:rPr>
        <w:t>Capex aligned to the Essential</w:t>
      </w:r>
      <w:r>
        <w:rPr>
          <w:bCs/>
        </w:rPr>
        <w:t xml:space="preserve"> </w:t>
      </w:r>
      <w:r w:rsidRPr="00FD5B68">
        <w:rPr>
          <w:bCs/>
          <w:noProof/>
        </w:rPr>
        <w:t>Services Commission</w:t>
      </w:r>
      <w:r w:rsidRPr="00FD5B68">
        <w:rPr>
          <w:rFonts w:hint="eastAsia"/>
          <w:bCs/>
          <w:noProof/>
        </w:rPr>
        <w:t>’</w:t>
      </w:r>
      <w:r w:rsidRPr="00FD5B68">
        <w:rPr>
          <w:bCs/>
          <w:noProof/>
        </w:rPr>
        <w:t>s</w:t>
      </w:r>
      <w:r>
        <w:rPr>
          <w:bCs/>
        </w:rPr>
        <w:t xml:space="preserve"> </w:t>
      </w:r>
      <w:r w:rsidRPr="00FD5B68">
        <w:rPr>
          <w:bCs/>
          <w:noProof/>
        </w:rPr>
        <w:t>determination</w:t>
      </w:r>
    </w:p>
    <w:p w14:paraId="41EC9E6B" w14:textId="3852E32C" w:rsidR="0089701B" w:rsidRDefault="00FD5B68" w:rsidP="00FD5B68">
      <w:pPr>
        <w:pStyle w:val="ListContinue"/>
      </w:pPr>
      <w:r w:rsidRPr="00FD5B68">
        <w:rPr>
          <w:noProof/>
        </w:rPr>
        <w:t>We’ll provide an annual</w:t>
      </w:r>
      <w:r>
        <w:t xml:space="preserve"> </w:t>
      </w:r>
      <w:r w:rsidRPr="00FD5B68">
        <w:rPr>
          <w:noProof/>
        </w:rPr>
        <w:t>reconciliation of how actual</w:t>
      </w:r>
      <w:r>
        <w:t xml:space="preserve"> </w:t>
      </w:r>
      <w:r w:rsidRPr="00FD5B68">
        <w:rPr>
          <w:noProof/>
        </w:rPr>
        <w:t xml:space="preserve">capital expenditure is </w:t>
      </w:r>
      <w:r w:rsidRPr="00FD5B68">
        <w:t>tracking</w:t>
      </w:r>
      <w:r>
        <w:t xml:space="preserve"> </w:t>
      </w:r>
      <w:r w:rsidRPr="00FD5B68">
        <w:rPr>
          <w:noProof/>
        </w:rPr>
        <w:t>against forecasts. We’ll also</w:t>
      </w:r>
      <w:r>
        <w:t xml:space="preserve"> </w:t>
      </w:r>
      <w:r w:rsidRPr="00FD5B68">
        <w:rPr>
          <w:noProof/>
        </w:rPr>
        <w:t>publish a secondary measure</w:t>
      </w:r>
      <w:r>
        <w:t xml:space="preserve"> </w:t>
      </w:r>
      <w:r w:rsidRPr="00FD5B68">
        <w:rPr>
          <w:noProof/>
        </w:rPr>
        <w:t>of final project costs relative to</w:t>
      </w:r>
      <w:r>
        <w:t xml:space="preserve"> </w:t>
      </w:r>
      <w:r w:rsidRPr="00FD5B68">
        <w:rPr>
          <w:noProof/>
        </w:rPr>
        <w:t>funding, increasing rigour and</w:t>
      </w:r>
      <w:r>
        <w:t xml:space="preserve"> </w:t>
      </w:r>
      <w:r w:rsidRPr="00FD5B68">
        <w:rPr>
          <w:noProof/>
        </w:rPr>
        <w:t>accountability in managing the</w:t>
      </w:r>
      <w:r>
        <w:t xml:space="preserve"> </w:t>
      </w:r>
      <w:r w:rsidRPr="00FD5B68">
        <w:t>costs and scope of capital projects.</w:t>
      </w:r>
    </w:p>
    <w:p w14:paraId="4E363785" w14:textId="1D27C00B" w:rsidR="00625642" w:rsidRPr="00625642" w:rsidRDefault="00625642" w:rsidP="00625642">
      <w:pPr>
        <w:pStyle w:val="Heading1"/>
      </w:pPr>
      <w:bookmarkStart w:id="60" w:name="_Toc55905514"/>
      <w:r>
        <w:lastRenderedPageBreak/>
        <w:t>Proposed prices</w:t>
      </w:r>
      <w:bookmarkStart w:id="61" w:name="_Toc52456186"/>
      <w:r>
        <w:t xml:space="preserve"> </w:t>
      </w:r>
      <w:r>
        <w:rPr>
          <w:rFonts w:eastAsia="Cambria"/>
        </w:rPr>
        <w:t>for 2021 to 20</w:t>
      </w:r>
      <w:r w:rsidRPr="00625642">
        <w:rPr>
          <w:rFonts w:eastAsia="Cambria"/>
        </w:rPr>
        <w:t>26</w:t>
      </w:r>
      <w:bookmarkEnd w:id="60"/>
      <w:bookmarkEnd w:id="61"/>
    </w:p>
    <w:p w14:paraId="10FCCF26" w14:textId="77777777" w:rsidR="00625642" w:rsidRPr="00625642" w:rsidRDefault="00625642" w:rsidP="00625642">
      <w:pPr>
        <w:pStyle w:val="BodyText"/>
        <w:rPr>
          <w:lang w:eastAsia="en-US"/>
        </w:rPr>
      </w:pPr>
      <w:r w:rsidRPr="00625642">
        <w:rPr>
          <w:lang w:eastAsia="en-US"/>
        </w:rPr>
        <w:t>Our submission aims to balance our ability to deliver the high-quality services our customers and community value, with the cost of doing so.</w:t>
      </w:r>
    </w:p>
    <w:p w14:paraId="4DA39283" w14:textId="77777777" w:rsidR="00625642" w:rsidRPr="00625642" w:rsidRDefault="00625642" w:rsidP="00625642">
      <w:pPr>
        <w:pStyle w:val="BodyText"/>
        <w:rPr>
          <w:lang w:eastAsia="en-US"/>
        </w:rPr>
      </w:pPr>
      <w:r w:rsidRPr="00625642">
        <w:rPr>
          <w:lang w:eastAsia="en-US"/>
        </w:rPr>
        <w:t>Prices for our services are based on the expected cost of delivering them – which includes a range of investments in assets and other activities. When calculating these costs, we consider:</w:t>
      </w:r>
    </w:p>
    <w:p w14:paraId="17387DCA" w14:textId="77777777" w:rsidR="00625642" w:rsidRPr="00625642" w:rsidRDefault="00625642" w:rsidP="00625642">
      <w:pPr>
        <w:pStyle w:val="ListBullet"/>
      </w:pPr>
      <w:r w:rsidRPr="00625642">
        <w:rPr>
          <w:noProof/>
          <w:lang w:eastAsia="en-US"/>
        </w:rPr>
        <w:t xml:space="preserve">customer </w:t>
      </w:r>
      <w:r w:rsidRPr="00625642">
        <w:t>preferences, including feedback from our Customer Councils and community research</w:t>
      </w:r>
    </w:p>
    <w:p w14:paraId="6D3E6BD2" w14:textId="77777777" w:rsidR="00625642" w:rsidRPr="00625642" w:rsidRDefault="00625642" w:rsidP="00625642">
      <w:pPr>
        <w:pStyle w:val="ListBullet"/>
      </w:pPr>
      <w:r w:rsidRPr="00625642">
        <w:t>infrastructure needed to deliver services, including when to maintain or upgrade existing assets or build new ones</w:t>
      </w:r>
    </w:p>
    <w:p w14:paraId="0EBB5566" w14:textId="77777777" w:rsidR="00625642" w:rsidRPr="00625642" w:rsidRDefault="00625642" w:rsidP="00625642">
      <w:pPr>
        <w:pStyle w:val="ListBullet"/>
      </w:pPr>
      <w:r w:rsidRPr="00625642">
        <w:t>our service standards and obligations, such as drinking water quality standards, sewage discharge regulations and environmental legislation</w:t>
      </w:r>
    </w:p>
    <w:p w14:paraId="43C7D224" w14:textId="77777777" w:rsidR="00625642" w:rsidRPr="00625642" w:rsidRDefault="00625642" w:rsidP="00625642">
      <w:pPr>
        <w:pStyle w:val="ListBullet"/>
        <w:rPr>
          <w:noProof/>
          <w:lang w:eastAsia="en-US"/>
        </w:rPr>
      </w:pPr>
      <w:r w:rsidRPr="00625642">
        <w:t>demand for our</w:t>
      </w:r>
      <w:r w:rsidRPr="00625642">
        <w:rPr>
          <w:noProof/>
          <w:lang w:eastAsia="en-US"/>
        </w:rPr>
        <w:t xml:space="preserve"> services – today and into the future. </w:t>
      </w:r>
    </w:p>
    <w:p w14:paraId="63D58FBC" w14:textId="0261F40E" w:rsidR="00625642" w:rsidRPr="00625642" w:rsidRDefault="00625642" w:rsidP="00625642">
      <w:pPr>
        <w:pStyle w:val="BodyText"/>
        <w:rPr>
          <w:lang w:eastAsia="en-US"/>
        </w:rPr>
      </w:pPr>
      <w:r w:rsidRPr="00625642">
        <w:rPr>
          <w:lang w:eastAsia="en-US"/>
        </w:rPr>
        <w:t xml:space="preserve">Over the five years of our submission, we propose to collect </w:t>
      </w:r>
      <w:r>
        <w:rPr>
          <w:lang w:eastAsia="en-US"/>
        </w:rPr>
        <w:t xml:space="preserve">$8,183.2 </w:t>
      </w:r>
      <w:r w:rsidRPr="00625642">
        <w:rPr>
          <w:lang w:eastAsia="en-US"/>
        </w:rPr>
        <w:t>million in revenue to pay for the cost of delivering services. This includes $6,7</w:t>
      </w:r>
      <w:r>
        <w:rPr>
          <w:lang w:eastAsia="en-US"/>
        </w:rPr>
        <w:t xml:space="preserve">31.6 </w:t>
      </w:r>
      <w:r w:rsidRPr="00625642">
        <w:rPr>
          <w:lang w:eastAsia="en-US"/>
        </w:rPr>
        <w:t>million for water and sewerage services, $1,430.8 million for waterways and drainage, and the remainder funding recycled water, diversion and other services.</w:t>
      </w:r>
    </w:p>
    <w:p w14:paraId="12F80547" w14:textId="77777777" w:rsidR="00625642" w:rsidRPr="00625642" w:rsidRDefault="00625642" w:rsidP="00625642">
      <w:pPr>
        <w:pStyle w:val="BodyText"/>
        <w:rPr>
          <w:lang w:eastAsia="en-US"/>
        </w:rPr>
      </w:pPr>
      <w:r w:rsidRPr="00625642">
        <w:rPr>
          <w:lang w:eastAsia="en-US"/>
        </w:rPr>
        <w:t xml:space="preserve">Our total proposed </w:t>
      </w:r>
      <w:r w:rsidRPr="00625642">
        <w:rPr>
          <w:lang w:eastAsia="en-US"/>
        </w:rPr>
        <w:t>revenue has decreased by $303.1 million compared to the previous five-year period.</w:t>
      </w:r>
    </w:p>
    <w:p w14:paraId="13E0EC20" w14:textId="77777777" w:rsidR="00625642" w:rsidRPr="00625642" w:rsidRDefault="00625642" w:rsidP="003875CB">
      <w:pPr>
        <w:pStyle w:val="Heading2"/>
      </w:pPr>
      <w:bookmarkStart w:id="62" w:name="_Toc52456188"/>
      <w:bookmarkStart w:id="63" w:name="_Toc55905515"/>
      <w:r w:rsidRPr="00625642">
        <w:t xml:space="preserve">What this means </w:t>
      </w:r>
      <w:r w:rsidRPr="00625642">
        <w:t>for your bill</w:t>
      </w:r>
      <w:bookmarkEnd w:id="62"/>
      <w:bookmarkEnd w:id="63"/>
    </w:p>
    <w:p w14:paraId="36CF3FBF" w14:textId="77777777" w:rsidR="00625642" w:rsidRPr="00625642" w:rsidRDefault="00625642" w:rsidP="003875CB">
      <w:pPr>
        <w:pStyle w:val="Heading3"/>
      </w:pPr>
      <w:bookmarkStart w:id="64" w:name="_Toc50450798"/>
      <w:bookmarkStart w:id="65" w:name="_Toc50482706"/>
      <w:r w:rsidRPr="00625642">
        <w:t xml:space="preserve">Water and sewerage </w:t>
      </w:r>
      <w:bookmarkEnd w:id="64"/>
      <w:bookmarkEnd w:id="65"/>
      <w:r w:rsidRPr="00625642">
        <w:t>prices</w:t>
      </w:r>
    </w:p>
    <w:p w14:paraId="47CD5E19" w14:textId="765315C2" w:rsidR="00625642" w:rsidRDefault="00625642" w:rsidP="00625642">
      <w:pPr>
        <w:pStyle w:val="BodyText"/>
        <w:rPr>
          <w:lang w:eastAsia="en-US"/>
        </w:rPr>
      </w:pPr>
      <w:r w:rsidRPr="00625642">
        <w:rPr>
          <w:lang w:eastAsia="en-US"/>
        </w:rPr>
        <w:t xml:space="preserve">Our water and sewerage charges are paid directly by the three metropolitan retail water companies (City West Water, South East Water and Yarra Valley Water), but ultimately by the households and businesses of Melbourne. </w:t>
      </w:r>
      <w:r>
        <w:rPr>
          <w:lang w:eastAsia="en-US"/>
        </w:rPr>
        <w:t>T</w:t>
      </w:r>
      <w:r w:rsidRPr="00625642">
        <w:rPr>
          <w:lang w:eastAsia="en-US"/>
        </w:rPr>
        <w:t xml:space="preserve">able </w:t>
      </w:r>
      <w:r>
        <w:rPr>
          <w:lang w:eastAsia="en-US"/>
        </w:rPr>
        <w:t xml:space="preserve">1 </w:t>
      </w:r>
      <w:r w:rsidRPr="00625642">
        <w:rPr>
          <w:lang w:eastAsia="en-US"/>
        </w:rPr>
        <w:t>shows our annual contribution to the typical Melbourne water bill, which also contains retail water company costs and other authority charges. The impact on individual households and businesses will depend on their water usage and the fee structure of their retail water company.</w:t>
      </w:r>
    </w:p>
    <w:p w14:paraId="2E3F9A63" w14:textId="22A27D9C" w:rsidR="007F3C2C" w:rsidRDefault="007F3C2C" w:rsidP="007F3C2C">
      <w:pPr>
        <w:pStyle w:val="Caption"/>
      </w:pPr>
      <w:r>
        <w:t xml:space="preserve">Table </w:t>
      </w:r>
      <w:r>
        <w:fldChar w:fldCharType="begin"/>
      </w:r>
      <w:r>
        <w:instrText xml:space="preserve"> SEQ Table \* ARABIC </w:instrText>
      </w:r>
      <w:r>
        <w:fldChar w:fldCharType="separate"/>
      </w:r>
      <w:r>
        <w:rPr>
          <w:noProof/>
        </w:rPr>
        <w:t>1</w:t>
      </w:r>
      <w:r>
        <w:fldChar w:fldCharType="end"/>
      </w:r>
      <w:r>
        <w:t>: Wholesale water and sewerage prices - impact on metropolitan customers</w:t>
      </w:r>
      <w:r>
        <w:rPr>
          <w:rStyle w:val="FootnoteReference"/>
        </w:rPr>
        <w:footnoteReference w:id="2"/>
      </w:r>
    </w:p>
    <w:tbl>
      <w:tblPr>
        <w:tblW w:w="5000" w:type="pct"/>
        <w:tblLook w:val="06A0" w:firstRow="1" w:lastRow="0" w:firstColumn="1" w:lastColumn="0" w:noHBand="1" w:noVBand="1"/>
      </w:tblPr>
      <w:tblGrid>
        <w:gridCol w:w="2407"/>
        <w:gridCol w:w="1204"/>
        <w:gridCol w:w="1204"/>
        <w:gridCol w:w="1204"/>
        <w:gridCol w:w="1204"/>
        <w:gridCol w:w="1204"/>
        <w:gridCol w:w="1204"/>
      </w:tblGrid>
      <w:tr w:rsidR="00625642" w:rsidRPr="00625642" w14:paraId="76308EBB" w14:textId="77777777" w:rsidTr="003527E5">
        <w:trPr>
          <w:trHeight w:val="397"/>
          <w:tblHeader/>
        </w:trPr>
        <w:tc>
          <w:tcPr>
            <w:tcW w:w="1250" w:type="pct"/>
          </w:tcPr>
          <w:p w14:paraId="5BA25AB4" w14:textId="77777777" w:rsidR="00625642" w:rsidRPr="003875CB" w:rsidRDefault="00625642" w:rsidP="009C3DA8">
            <w:pPr>
              <w:pStyle w:val="TableText"/>
              <w:rPr>
                <w:rStyle w:val="Bold"/>
                <w:lang w:eastAsia="en-US"/>
              </w:rPr>
            </w:pPr>
            <w:r w:rsidRPr="003875CB">
              <w:rPr>
                <w:rStyle w:val="Bold"/>
                <w:lang w:eastAsia="en-US"/>
              </w:rPr>
              <w:t>Retail water company</w:t>
            </w:r>
          </w:p>
        </w:tc>
        <w:tc>
          <w:tcPr>
            <w:tcW w:w="625" w:type="pct"/>
            <w:shd w:val="clear" w:color="auto" w:fill="BDD6EE" w:themeFill="accent1" w:themeFillTint="66"/>
            <w:noWrap/>
          </w:tcPr>
          <w:p w14:paraId="7E7EA43F" w14:textId="77777777" w:rsidR="00625642" w:rsidRPr="003875CB" w:rsidRDefault="00625642" w:rsidP="009C3DA8">
            <w:pPr>
              <w:pStyle w:val="TableText"/>
              <w:rPr>
                <w:rStyle w:val="Bold"/>
                <w:lang w:eastAsia="en-US"/>
              </w:rPr>
            </w:pPr>
            <w:r w:rsidRPr="003875CB">
              <w:rPr>
                <w:rStyle w:val="Bold"/>
                <w:lang w:eastAsia="en-US"/>
              </w:rPr>
              <w:t>2020-21</w:t>
            </w:r>
          </w:p>
        </w:tc>
        <w:tc>
          <w:tcPr>
            <w:tcW w:w="625" w:type="pct"/>
            <w:noWrap/>
          </w:tcPr>
          <w:p w14:paraId="5B700490" w14:textId="77777777" w:rsidR="00625642" w:rsidRPr="003875CB" w:rsidRDefault="00625642" w:rsidP="009C3DA8">
            <w:pPr>
              <w:pStyle w:val="TableText"/>
              <w:rPr>
                <w:rStyle w:val="Bold"/>
                <w:lang w:eastAsia="en-US"/>
              </w:rPr>
            </w:pPr>
            <w:r w:rsidRPr="003875CB">
              <w:rPr>
                <w:rStyle w:val="Bold"/>
                <w:lang w:eastAsia="en-US"/>
              </w:rPr>
              <w:t>2021-22</w:t>
            </w:r>
          </w:p>
        </w:tc>
        <w:tc>
          <w:tcPr>
            <w:tcW w:w="625" w:type="pct"/>
            <w:noWrap/>
          </w:tcPr>
          <w:p w14:paraId="736BF5EE" w14:textId="77777777" w:rsidR="00625642" w:rsidRPr="003875CB" w:rsidRDefault="00625642" w:rsidP="009C3DA8">
            <w:pPr>
              <w:pStyle w:val="TableText"/>
              <w:rPr>
                <w:rStyle w:val="Bold"/>
                <w:lang w:eastAsia="en-US"/>
              </w:rPr>
            </w:pPr>
            <w:r w:rsidRPr="003875CB">
              <w:rPr>
                <w:rStyle w:val="Bold"/>
                <w:lang w:eastAsia="en-US"/>
              </w:rPr>
              <w:t>2022-23</w:t>
            </w:r>
          </w:p>
        </w:tc>
        <w:tc>
          <w:tcPr>
            <w:tcW w:w="625" w:type="pct"/>
            <w:noWrap/>
          </w:tcPr>
          <w:p w14:paraId="0FC6A1B3" w14:textId="77777777" w:rsidR="00625642" w:rsidRPr="003875CB" w:rsidRDefault="00625642" w:rsidP="009C3DA8">
            <w:pPr>
              <w:pStyle w:val="TableText"/>
              <w:rPr>
                <w:rStyle w:val="Bold"/>
                <w:lang w:eastAsia="en-US"/>
              </w:rPr>
            </w:pPr>
            <w:r w:rsidRPr="003875CB">
              <w:rPr>
                <w:rStyle w:val="Bold"/>
                <w:lang w:eastAsia="en-US"/>
              </w:rPr>
              <w:t>2023-24</w:t>
            </w:r>
          </w:p>
        </w:tc>
        <w:tc>
          <w:tcPr>
            <w:tcW w:w="625" w:type="pct"/>
            <w:noWrap/>
          </w:tcPr>
          <w:p w14:paraId="52361BC7" w14:textId="77777777" w:rsidR="00625642" w:rsidRPr="003875CB" w:rsidRDefault="00625642" w:rsidP="009C3DA8">
            <w:pPr>
              <w:pStyle w:val="TableText"/>
              <w:rPr>
                <w:rStyle w:val="Bold"/>
                <w:lang w:eastAsia="en-US"/>
              </w:rPr>
            </w:pPr>
            <w:r w:rsidRPr="003875CB">
              <w:rPr>
                <w:rStyle w:val="Bold"/>
                <w:lang w:eastAsia="en-US"/>
              </w:rPr>
              <w:t>2024-25</w:t>
            </w:r>
          </w:p>
        </w:tc>
        <w:tc>
          <w:tcPr>
            <w:tcW w:w="625" w:type="pct"/>
            <w:noWrap/>
          </w:tcPr>
          <w:p w14:paraId="00D493A3" w14:textId="77777777" w:rsidR="00625642" w:rsidRPr="003875CB" w:rsidRDefault="00625642" w:rsidP="009C3DA8">
            <w:pPr>
              <w:pStyle w:val="TableText"/>
              <w:rPr>
                <w:rStyle w:val="Bold"/>
                <w:lang w:eastAsia="en-US"/>
              </w:rPr>
            </w:pPr>
            <w:r w:rsidRPr="003875CB">
              <w:rPr>
                <w:rStyle w:val="Bold"/>
                <w:lang w:eastAsia="en-US"/>
              </w:rPr>
              <w:t>2025-26</w:t>
            </w:r>
          </w:p>
        </w:tc>
      </w:tr>
      <w:tr w:rsidR="00625642" w:rsidRPr="00625642" w14:paraId="4D2E6B86" w14:textId="77777777" w:rsidTr="003875CB">
        <w:trPr>
          <w:trHeight w:val="397"/>
        </w:trPr>
        <w:tc>
          <w:tcPr>
            <w:tcW w:w="1250" w:type="pct"/>
            <w:tcBorders>
              <w:bottom w:val="nil"/>
            </w:tcBorders>
            <w:hideMark/>
          </w:tcPr>
          <w:p w14:paraId="3FE096D1" w14:textId="77777777" w:rsidR="00625642" w:rsidRPr="00625642" w:rsidRDefault="00625642" w:rsidP="009C3DA8">
            <w:pPr>
              <w:pStyle w:val="TableText"/>
              <w:rPr>
                <w:noProof/>
                <w:lang w:eastAsia="en-US"/>
              </w:rPr>
            </w:pPr>
            <w:r w:rsidRPr="00625642">
              <w:rPr>
                <w:noProof/>
                <w:lang w:eastAsia="en-US"/>
              </w:rPr>
              <w:t>City West Water</w:t>
            </w:r>
          </w:p>
        </w:tc>
        <w:tc>
          <w:tcPr>
            <w:tcW w:w="625" w:type="pct"/>
            <w:tcBorders>
              <w:bottom w:val="nil"/>
            </w:tcBorders>
            <w:shd w:val="clear" w:color="auto" w:fill="F2F2F2" w:themeFill="background2"/>
            <w:noWrap/>
            <w:hideMark/>
          </w:tcPr>
          <w:p w14:paraId="2606B11C" w14:textId="77777777" w:rsidR="00625642" w:rsidRPr="00625642" w:rsidRDefault="00625642" w:rsidP="009C3DA8">
            <w:pPr>
              <w:pStyle w:val="TableText"/>
              <w:rPr>
                <w:noProof/>
                <w:lang w:eastAsia="en-US"/>
              </w:rPr>
            </w:pPr>
            <w:r w:rsidRPr="00625642">
              <w:rPr>
                <w:noProof/>
                <w:lang w:eastAsia="en-US"/>
              </w:rPr>
              <w:t xml:space="preserve"> $668.1 </w:t>
            </w:r>
          </w:p>
        </w:tc>
        <w:tc>
          <w:tcPr>
            <w:tcW w:w="625" w:type="pct"/>
            <w:tcBorders>
              <w:bottom w:val="nil"/>
            </w:tcBorders>
            <w:noWrap/>
            <w:hideMark/>
          </w:tcPr>
          <w:p w14:paraId="69C54933" w14:textId="77777777" w:rsidR="00625642" w:rsidRPr="00625642" w:rsidRDefault="00625642" w:rsidP="009C3DA8">
            <w:pPr>
              <w:pStyle w:val="TableText"/>
              <w:rPr>
                <w:noProof/>
                <w:lang w:eastAsia="en-US"/>
              </w:rPr>
            </w:pPr>
            <w:r w:rsidRPr="00625642">
              <w:rPr>
                <w:noProof/>
                <w:lang w:eastAsia="en-US"/>
              </w:rPr>
              <w:t xml:space="preserve"> $639.0 </w:t>
            </w:r>
          </w:p>
        </w:tc>
        <w:tc>
          <w:tcPr>
            <w:tcW w:w="625" w:type="pct"/>
            <w:tcBorders>
              <w:bottom w:val="nil"/>
            </w:tcBorders>
            <w:noWrap/>
            <w:hideMark/>
          </w:tcPr>
          <w:p w14:paraId="5096150C" w14:textId="77777777" w:rsidR="00625642" w:rsidRPr="00625642" w:rsidRDefault="00625642" w:rsidP="009C3DA8">
            <w:pPr>
              <w:pStyle w:val="TableText"/>
              <w:rPr>
                <w:noProof/>
                <w:lang w:eastAsia="en-US"/>
              </w:rPr>
            </w:pPr>
            <w:r w:rsidRPr="00625642">
              <w:rPr>
                <w:noProof/>
                <w:lang w:eastAsia="en-US"/>
              </w:rPr>
              <w:t xml:space="preserve"> $627.6 </w:t>
            </w:r>
          </w:p>
        </w:tc>
        <w:tc>
          <w:tcPr>
            <w:tcW w:w="625" w:type="pct"/>
            <w:tcBorders>
              <w:bottom w:val="nil"/>
            </w:tcBorders>
            <w:noWrap/>
            <w:hideMark/>
          </w:tcPr>
          <w:p w14:paraId="28B2604D" w14:textId="77777777" w:rsidR="00625642" w:rsidRPr="00625642" w:rsidRDefault="00625642" w:rsidP="009C3DA8">
            <w:pPr>
              <w:pStyle w:val="TableText"/>
              <w:rPr>
                <w:noProof/>
                <w:lang w:eastAsia="en-US"/>
              </w:rPr>
            </w:pPr>
            <w:r w:rsidRPr="00625642">
              <w:rPr>
                <w:noProof/>
                <w:lang w:eastAsia="en-US"/>
              </w:rPr>
              <w:t xml:space="preserve"> $618.7 </w:t>
            </w:r>
          </w:p>
        </w:tc>
        <w:tc>
          <w:tcPr>
            <w:tcW w:w="625" w:type="pct"/>
            <w:tcBorders>
              <w:bottom w:val="nil"/>
            </w:tcBorders>
            <w:noWrap/>
            <w:hideMark/>
          </w:tcPr>
          <w:p w14:paraId="5E2535E0" w14:textId="77777777" w:rsidR="00625642" w:rsidRPr="00625642" w:rsidRDefault="00625642" w:rsidP="009C3DA8">
            <w:pPr>
              <w:pStyle w:val="TableText"/>
              <w:rPr>
                <w:noProof/>
                <w:lang w:eastAsia="en-US"/>
              </w:rPr>
            </w:pPr>
            <w:r w:rsidRPr="00625642">
              <w:rPr>
                <w:noProof/>
                <w:lang w:eastAsia="en-US"/>
              </w:rPr>
              <w:t xml:space="preserve"> $607.6 </w:t>
            </w:r>
          </w:p>
        </w:tc>
        <w:tc>
          <w:tcPr>
            <w:tcW w:w="625" w:type="pct"/>
            <w:tcBorders>
              <w:bottom w:val="nil"/>
            </w:tcBorders>
            <w:noWrap/>
            <w:hideMark/>
          </w:tcPr>
          <w:p w14:paraId="5490AC4A" w14:textId="77777777" w:rsidR="00625642" w:rsidRPr="00625642" w:rsidRDefault="00625642" w:rsidP="009C3DA8">
            <w:pPr>
              <w:pStyle w:val="TableText"/>
              <w:rPr>
                <w:noProof/>
                <w:lang w:eastAsia="en-US"/>
              </w:rPr>
            </w:pPr>
            <w:r w:rsidRPr="00625642">
              <w:rPr>
                <w:noProof/>
                <w:lang w:eastAsia="en-US"/>
              </w:rPr>
              <w:t xml:space="preserve"> $600.2 </w:t>
            </w:r>
          </w:p>
        </w:tc>
      </w:tr>
      <w:tr w:rsidR="00625642" w:rsidRPr="00625642" w14:paraId="517BE002" w14:textId="77777777" w:rsidTr="003875CB">
        <w:trPr>
          <w:trHeight w:val="283"/>
        </w:trPr>
        <w:tc>
          <w:tcPr>
            <w:tcW w:w="1250" w:type="pct"/>
            <w:tcBorders>
              <w:top w:val="nil"/>
              <w:bottom w:val="single" w:sz="4" w:space="0" w:color="231F20"/>
            </w:tcBorders>
            <w:hideMark/>
          </w:tcPr>
          <w:p w14:paraId="08DFC8F4" w14:textId="77777777" w:rsidR="00625642" w:rsidRPr="00625642" w:rsidRDefault="00625642" w:rsidP="009C3DA8">
            <w:pPr>
              <w:pStyle w:val="TableText"/>
              <w:rPr>
                <w:i/>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hideMark/>
          </w:tcPr>
          <w:p w14:paraId="0C2CE0E1"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hideMark/>
          </w:tcPr>
          <w:p w14:paraId="30BBDFF8" w14:textId="77777777" w:rsidR="00625642" w:rsidRPr="00625642" w:rsidRDefault="00625642" w:rsidP="009C3DA8">
            <w:pPr>
              <w:pStyle w:val="TableText"/>
              <w:rPr>
                <w:i/>
                <w:noProof/>
                <w:lang w:eastAsia="en-US"/>
              </w:rPr>
            </w:pPr>
            <w:r w:rsidRPr="00625642">
              <w:rPr>
                <w:i/>
                <w:noProof/>
                <w:lang w:eastAsia="en-US"/>
              </w:rPr>
              <w:t>-4.4%</w:t>
            </w:r>
          </w:p>
        </w:tc>
        <w:tc>
          <w:tcPr>
            <w:tcW w:w="625" w:type="pct"/>
            <w:tcBorders>
              <w:top w:val="nil"/>
              <w:bottom w:val="single" w:sz="4" w:space="0" w:color="231F20"/>
            </w:tcBorders>
            <w:noWrap/>
            <w:hideMark/>
          </w:tcPr>
          <w:p w14:paraId="328C0AD5" w14:textId="77777777" w:rsidR="00625642" w:rsidRPr="00625642" w:rsidRDefault="00625642" w:rsidP="009C3DA8">
            <w:pPr>
              <w:pStyle w:val="TableText"/>
              <w:rPr>
                <w:i/>
                <w:noProof/>
                <w:lang w:eastAsia="en-US"/>
              </w:rPr>
            </w:pPr>
            <w:r w:rsidRPr="00625642">
              <w:rPr>
                <w:i/>
                <w:noProof/>
                <w:lang w:eastAsia="en-US"/>
              </w:rPr>
              <w:t>-1.8%</w:t>
            </w:r>
          </w:p>
        </w:tc>
        <w:tc>
          <w:tcPr>
            <w:tcW w:w="625" w:type="pct"/>
            <w:tcBorders>
              <w:top w:val="nil"/>
              <w:bottom w:val="single" w:sz="4" w:space="0" w:color="231F20"/>
            </w:tcBorders>
            <w:noWrap/>
            <w:hideMark/>
          </w:tcPr>
          <w:p w14:paraId="418849C5" w14:textId="77777777" w:rsidR="00625642" w:rsidRPr="00625642" w:rsidRDefault="00625642" w:rsidP="009C3DA8">
            <w:pPr>
              <w:pStyle w:val="TableText"/>
              <w:rPr>
                <w:i/>
                <w:noProof/>
                <w:lang w:eastAsia="en-US"/>
              </w:rPr>
            </w:pPr>
            <w:r w:rsidRPr="00625642">
              <w:rPr>
                <w:i/>
                <w:noProof/>
                <w:lang w:eastAsia="en-US"/>
              </w:rPr>
              <w:t>-1.4%</w:t>
            </w:r>
          </w:p>
        </w:tc>
        <w:tc>
          <w:tcPr>
            <w:tcW w:w="625" w:type="pct"/>
            <w:tcBorders>
              <w:top w:val="nil"/>
              <w:bottom w:val="single" w:sz="4" w:space="0" w:color="231F20"/>
            </w:tcBorders>
            <w:noWrap/>
            <w:hideMark/>
          </w:tcPr>
          <w:p w14:paraId="2482F3D8" w14:textId="77777777" w:rsidR="00625642" w:rsidRPr="00625642" w:rsidRDefault="00625642" w:rsidP="009C3DA8">
            <w:pPr>
              <w:pStyle w:val="TableText"/>
              <w:rPr>
                <w:i/>
                <w:noProof/>
                <w:lang w:eastAsia="en-US"/>
              </w:rPr>
            </w:pPr>
            <w:r w:rsidRPr="00625642">
              <w:rPr>
                <w:i/>
                <w:noProof/>
                <w:lang w:eastAsia="en-US"/>
              </w:rPr>
              <w:t>-1.8%</w:t>
            </w:r>
          </w:p>
        </w:tc>
        <w:tc>
          <w:tcPr>
            <w:tcW w:w="625" w:type="pct"/>
            <w:tcBorders>
              <w:top w:val="nil"/>
              <w:bottom w:val="single" w:sz="4" w:space="0" w:color="231F20"/>
            </w:tcBorders>
            <w:noWrap/>
            <w:hideMark/>
          </w:tcPr>
          <w:p w14:paraId="4ED160D0" w14:textId="77777777" w:rsidR="00625642" w:rsidRPr="00625642" w:rsidRDefault="00625642" w:rsidP="009C3DA8">
            <w:pPr>
              <w:pStyle w:val="TableText"/>
              <w:rPr>
                <w:i/>
                <w:noProof/>
                <w:lang w:eastAsia="en-US"/>
              </w:rPr>
            </w:pPr>
            <w:r w:rsidRPr="00625642">
              <w:rPr>
                <w:i/>
                <w:noProof/>
                <w:lang w:eastAsia="en-US"/>
              </w:rPr>
              <w:t>-1.2%</w:t>
            </w:r>
          </w:p>
        </w:tc>
      </w:tr>
      <w:tr w:rsidR="00625642" w:rsidRPr="00625642" w14:paraId="163630B5" w14:textId="77777777" w:rsidTr="003875CB">
        <w:trPr>
          <w:trHeight w:val="397"/>
        </w:trPr>
        <w:tc>
          <w:tcPr>
            <w:tcW w:w="1250" w:type="pct"/>
            <w:tcBorders>
              <w:bottom w:val="nil"/>
            </w:tcBorders>
            <w:hideMark/>
          </w:tcPr>
          <w:p w14:paraId="184D7B67" w14:textId="77777777" w:rsidR="00625642" w:rsidRPr="00625642" w:rsidRDefault="00625642" w:rsidP="009C3DA8">
            <w:pPr>
              <w:pStyle w:val="TableText"/>
              <w:rPr>
                <w:noProof/>
                <w:lang w:eastAsia="en-US"/>
              </w:rPr>
            </w:pPr>
            <w:r w:rsidRPr="00625642">
              <w:rPr>
                <w:noProof/>
                <w:lang w:eastAsia="en-US"/>
              </w:rPr>
              <w:t>South East Water</w:t>
            </w:r>
          </w:p>
        </w:tc>
        <w:tc>
          <w:tcPr>
            <w:tcW w:w="625" w:type="pct"/>
            <w:tcBorders>
              <w:bottom w:val="nil"/>
            </w:tcBorders>
            <w:shd w:val="clear" w:color="auto" w:fill="F2F2F2" w:themeFill="background2"/>
            <w:noWrap/>
          </w:tcPr>
          <w:p w14:paraId="6F83ED9D" w14:textId="77777777" w:rsidR="00625642" w:rsidRPr="00625642" w:rsidRDefault="00625642" w:rsidP="009C3DA8">
            <w:pPr>
              <w:pStyle w:val="TableText"/>
              <w:rPr>
                <w:noProof/>
                <w:lang w:eastAsia="en-US"/>
              </w:rPr>
            </w:pPr>
            <w:r w:rsidRPr="00625642">
              <w:rPr>
                <w:noProof/>
                <w:lang w:eastAsia="en-US"/>
              </w:rPr>
              <w:t xml:space="preserve"> $628.1 </w:t>
            </w:r>
          </w:p>
        </w:tc>
        <w:tc>
          <w:tcPr>
            <w:tcW w:w="625" w:type="pct"/>
            <w:tcBorders>
              <w:bottom w:val="nil"/>
            </w:tcBorders>
            <w:noWrap/>
          </w:tcPr>
          <w:p w14:paraId="333FA004" w14:textId="77777777" w:rsidR="00625642" w:rsidRPr="00625642" w:rsidRDefault="00625642" w:rsidP="009C3DA8">
            <w:pPr>
              <w:pStyle w:val="TableText"/>
              <w:rPr>
                <w:noProof/>
                <w:lang w:eastAsia="en-US"/>
              </w:rPr>
            </w:pPr>
            <w:r w:rsidRPr="00625642">
              <w:rPr>
                <w:noProof/>
                <w:lang w:eastAsia="en-US"/>
              </w:rPr>
              <w:t xml:space="preserve"> $595.2 </w:t>
            </w:r>
          </w:p>
        </w:tc>
        <w:tc>
          <w:tcPr>
            <w:tcW w:w="625" w:type="pct"/>
            <w:tcBorders>
              <w:bottom w:val="nil"/>
            </w:tcBorders>
            <w:noWrap/>
          </w:tcPr>
          <w:p w14:paraId="2AEA7639" w14:textId="77777777" w:rsidR="00625642" w:rsidRPr="00625642" w:rsidRDefault="00625642" w:rsidP="009C3DA8">
            <w:pPr>
              <w:pStyle w:val="TableText"/>
              <w:rPr>
                <w:noProof/>
                <w:lang w:eastAsia="en-US"/>
              </w:rPr>
            </w:pPr>
            <w:r w:rsidRPr="00625642">
              <w:rPr>
                <w:noProof/>
                <w:lang w:eastAsia="en-US"/>
              </w:rPr>
              <w:t xml:space="preserve"> $591.2 </w:t>
            </w:r>
          </w:p>
        </w:tc>
        <w:tc>
          <w:tcPr>
            <w:tcW w:w="625" w:type="pct"/>
            <w:tcBorders>
              <w:bottom w:val="nil"/>
            </w:tcBorders>
            <w:noWrap/>
          </w:tcPr>
          <w:p w14:paraId="7FC62818" w14:textId="77777777" w:rsidR="00625642" w:rsidRPr="00625642" w:rsidRDefault="00625642" w:rsidP="009C3DA8">
            <w:pPr>
              <w:pStyle w:val="TableText"/>
              <w:rPr>
                <w:noProof/>
                <w:lang w:eastAsia="en-US"/>
              </w:rPr>
            </w:pPr>
            <w:r w:rsidRPr="00625642">
              <w:rPr>
                <w:noProof/>
                <w:lang w:eastAsia="en-US"/>
              </w:rPr>
              <w:t xml:space="preserve"> $589.2 </w:t>
            </w:r>
          </w:p>
        </w:tc>
        <w:tc>
          <w:tcPr>
            <w:tcW w:w="625" w:type="pct"/>
            <w:tcBorders>
              <w:bottom w:val="nil"/>
            </w:tcBorders>
            <w:noWrap/>
          </w:tcPr>
          <w:p w14:paraId="6FFD142E" w14:textId="77777777" w:rsidR="00625642" w:rsidRPr="00625642" w:rsidRDefault="00625642" w:rsidP="009C3DA8">
            <w:pPr>
              <w:pStyle w:val="TableText"/>
              <w:rPr>
                <w:noProof/>
                <w:lang w:eastAsia="en-US"/>
              </w:rPr>
            </w:pPr>
            <w:r w:rsidRPr="00625642">
              <w:rPr>
                <w:noProof/>
                <w:lang w:eastAsia="en-US"/>
              </w:rPr>
              <w:t xml:space="preserve"> $585.1 </w:t>
            </w:r>
          </w:p>
        </w:tc>
        <w:tc>
          <w:tcPr>
            <w:tcW w:w="625" w:type="pct"/>
            <w:tcBorders>
              <w:bottom w:val="nil"/>
            </w:tcBorders>
            <w:noWrap/>
          </w:tcPr>
          <w:p w14:paraId="5AFC2577" w14:textId="77777777" w:rsidR="00625642" w:rsidRPr="00625642" w:rsidRDefault="00625642" w:rsidP="009C3DA8">
            <w:pPr>
              <w:pStyle w:val="TableText"/>
              <w:rPr>
                <w:noProof/>
                <w:lang w:eastAsia="en-US"/>
              </w:rPr>
            </w:pPr>
            <w:r w:rsidRPr="00625642">
              <w:rPr>
                <w:noProof/>
                <w:lang w:eastAsia="en-US"/>
              </w:rPr>
              <w:t xml:space="preserve"> $584.4 </w:t>
            </w:r>
          </w:p>
        </w:tc>
      </w:tr>
      <w:tr w:rsidR="00625642" w:rsidRPr="00625642" w14:paraId="05F566DE" w14:textId="77777777" w:rsidTr="003875CB">
        <w:trPr>
          <w:trHeight w:val="283"/>
        </w:trPr>
        <w:tc>
          <w:tcPr>
            <w:tcW w:w="1250" w:type="pct"/>
            <w:tcBorders>
              <w:top w:val="nil"/>
              <w:bottom w:val="single" w:sz="4" w:space="0" w:color="231F20"/>
            </w:tcBorders>
            <w:hideMark/>
          </w:tcPr>
          <w:p w14:paraId="37F74780"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tcPr>
          <w:p w14:paraId="247ED8BC"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tcPr>
          <w:p w14:paraId="314D78F8" w14:textId="77777777" w:rsidR="00625642" w:rsidRPr="00625642" w:rsidRDefault="00625642" w:rsidP="009C3DA8">
            <w:pPr>
              <w:pStyle w:val="TableText"/>
              <w:rPr>
                <w:i/>
                <w:noProof/>
                <w:lang w:eastAsia="en-US"/>
              </w:rPr>
            </w:pPr>
            <w:r w:rsidRPr="00625642">
              <w:rPr>
                <w:i/>
                <w:noProof/>
                <w:lang w:eastAsia="en-US"/>
              </w:rPr>
              <w:t>-5.2%</w:t>
            </w:r>
          </w:p>
        </w:tc>
        <w:tc>
          <w:tcPr>
            <w:tcW w:w="625" w:type="pct"/>
            <w:tcBorders>
              <w:top w:val="nil"/>
              <w:bottom w:val="single" w:sz="4" w:space="0" w:color="231F20"/>
            </w:tcBorders>
            <w:noWrap/>
          </w:tcPr>
          <w:p w14:paraId="04267F50" w14:textId="77777777" w:rsidR="00625642" w:rsidRPr="00625642" w:rsidRDefault="00625642" w:rsidP="009C3DA8">
            <w:pPr>
              <w:pStyle w:val="TableText"/>
              <w:rPr>
                <w:i/>
                <w:noProof/>
                <w:lang w:eastAsia="en-US"/>
              </w:rPr>
            </w:pPr>
            <w:r w:rsidRPr="00625642">
              <w:rPr>
                <w:i/>
                <w:noProof/>
                <w:lang w:eastAsia="en-US"/>
              </w:rPr>
              <w:t>-0.7%</w:t>
            </w:r>
          </w:p>
        </w:tc>
        <w:tc>
          <w:tcPr>
            <w:tcW w:w="625" w:type="pct"/>
            <w:tcBorders>
              <w:top w:val="nil"/>
              <w:bottom w:val="single" w:sz="4" w:space="0" w:color="231F20"/>
            </w:tcBorders>
            <w:noWrap/>
          </w:tcPr>
          <w:p w14:paraId="53EEE2E6" w14:textId="77777777" w:rsidR="00625642" w:rsidRPr="00625642" w:rsidRDefault="00625642" w:rsidP="009C3DA8">
            <w:pPr>
              <w:pStyle w:val="TableText"/>
              <w:rPr>
                <w:i/>
                <w:noProof/>
                <w:lang w:eastAsia="en-US"/>
              </w:rPr>
            </w:pPr>
            <w:r w:rsidRPr="00625642">
              <w:rPr>
                <w:i/>
                <w:noProof/>
                <w:lang w:eastAsia="en-US"/>
              </w:rPr>
              <w:t>-0.3%</w:t>
            </w:r>
          </w:p>
        </w:tc>
        <w:tc>
          <w:tcPr>
            <w:tcW w:w="625" w:type="pct"/>
            <w:tcBorders>
              <w:top w:val="nil"/>
              <w:bottom w:val="single" w:sz="4" w:space="0" w:color="231F20"/>
            </w:tcBorders>
            <w:noWrap/>
          </w:tcPr>
          <w:p w14:paraId="0E836C4C" w14:textId="77777777" w:rsidR="00625642" w:rsidRPr="00625642" w:rsidRDefault="00625642" w:rsidP="009C3DA8">
            <w:pPr>
              <w:pStyle w:val="TableText"/>
              <w:rPr>
                <w:i/>
                <w:noProof/>
                <w:lang w:eastAsia="en-US"/>
              </w:rPr>
            </w:pPr>
            <w:r w:rsidRPr="00625642">
              <w:rPr>
                <w:i/>
                <w:noProof/>
                <w:lang w:eastAsia="en-US"/>
              </w:rPr>
              <w:t>-0.7%</w:t>
            </w:r>
          </w:p>
        </w:tc>
        <w:tc>
          <w:tcPr>
            <w:tcW w:w="625" w:type="pct"/>
            <w:tcBorders>
              <w:top w:val="nil"/>
              <w:bottom w:val="single" w:sz="4" w:space="0" w:color="231F20"/>
            </w:tcBorders>
            <w:noWrap/>
          </w:tcPr>
          <w:p w14:paraId="62DE51CF" w14:textId="77777777" w:rsidR="00625642" w:rsidRPr="00625642" w:rsidRDefault="00625642" w:rsidP="009C3DA8">
            <w:pPr>
              <w:pStyle w:val="TableText"/>
              <w:rPr>
                <w:i/>
                <w:noProof/>
                <w:lang w:eastAsia="en-US"/>
              </w:rPr>
            </w:pPr>
            <w:r w:rsidRPr="00625642">
              <w:rPr>
                <w:i/>
                <w:noProof/>
                <w:lang w:eastAsia="en-US"/>
              </w:rPr>
              <w:t>-0.1%</w:t>
            </w:r>
          </w:p>
        </w:tc>
      </w:tr>
      <w:tr w:rsidR="00625642" w:rsidRPr="00625642" w14:paraId="5CDE4235" w14:textId="77777777" w:rsidTr="003875CB">
        <w:trPr>
          <w:trHeight w:val="397"/>
        </w:trPr>
        <w:tc>
          <w:tcPr>
            <w:tcW w:w="1250" w:type="pct"/>
            <w:tcBorders>
              <w:bottom w:val="nil"/>
            </w:tcBorders>
            <w:hideMark/>
          </w:tcPr>
          <w:p w14:paraId="3277FF02" w14:textId="77777777" w:rsidR="00625642" w:rsidRPr="00625642" w:rsidRDefault="00625642" w:rsidP="009C3DA8">
            <w:pPr>
              <w:pStyle w:val="TableText"/>
              <w:rPr>
                <w:noProof/>
                <w:lang w:eastAsia="en-US"/>
              </w:rPr>
            </w:pPr>
            <w:r w:rsidRPr="00625642">
              <w:rPr>
                <w:noProof/>
                <w:lang w:eastAsia="en-US"/>
              </w:rPr>
              <w:t>Yarra Valley Water</w:t>
            </w:r>
          </w:p>
        </w:tc>
        <w:tc>
          <w:tcPr>
            <w:tcW w:w="625" w:type="pct"/>
            <w:tcBorders>
              <w:bottom w:val="nil"/>
            </w:tcBorders>
            <w:shd w:val="clear" w:color="auto" w:fill="F2F2F2" w:themeFill="background2"/>
            <w:noWrap/>
          </w:tcPr>
          <w:p w14:paraId="407EB795" w14:textId="77777777" w:rsidR="00625642" w:rsidRPr="00625642" w:rsidRDefault="00625642" w:rsidP="009C3DA8">
            <w:pPr>
              <w:pStyle w:val="TableText"/>
              <w:rPr>
                <w:noProof/>
                <w:lang w:eastAsia="en-US"/>
              </w:rPr>
            </w:pPr>
            <w:r w:rsidRPr="00625642">
              <w:rPr>
                <w:noProof/>
                <w:lang w:eastAsia="en-US"/>
              </w:rPr>
              <w:t xml:space="preserve"> $582.0 </w:t>
            </w:r>
          </w:p>
        </w:tc>
        <w:tc>
          <w:tcPr>
            <w:tcW w:w="625" w:type="pct"/>
            <w:tcBorders>
              <w:bottom w:val="nil"/>
            </w:tcBorders>
            <w:noWrap/>
          </w:tcPr>
          <w:p w14:paraId="5855B062" w14:textId="77777777" w:rsidR="00625642" w:rsidRPr="00625642" w:rsidRDefault="00625642" w:rsidP="009C3DA8">
            <w:pPr>
              <w:pStyle w:val="TableText"/>
              <w:rPr>
                <w:noProof/>
                <w:lang w:eastAsia="en-US"/>
              </w:rPr>
            </w:pPr>
            <w:r w:rsidRPr="00625642">
              <w:rPr>
                <w:noProof/>
                <w:lang w:eastAsia="en-US"/>
              </w:rPr>
              <w:t xml:space="preserve"> $5</w:t>
            </w:r>
            <w:bookmarkStart w:id="66" w:name="_GoBack"/>
            <w:bookmarkEnd w:id="66"/>
            <w:r w:rsidRPr="00625642">
              <w:rPr>
                <w:noProof/>
                <w:lang w:eastAsia="en-US"/>
              </w:rPr>
              <w:t xml:space="preserve">62.4 </w:t>
            </w:r>
          </w:p>
        </w:tc>
        <w:tc>
          <w:tcPr>
            <w:tcW w:w="625" w:type="pct"/>
            <w:tcBorders>
              <w:bottom w:val="nil"/>
            </w:tcBorders>
            <w:noWrap/>
          </w:tcPr>
          <w:p w14:paraId="6A5C96F6" w14:textId="77777777" w:rsidR="00625642" w:rsidRPr="00625642" w:rsidRDefault="00625642" w:rsidP="009C3DA8">
            <w:pPr>
              <w:pStyle w:val="TableText"/>
              <w:rPr>
                <w:noProof/>
                <w:lang w:eastAsia="en-US"/>
              </w:rPr>
            </w:pPr>
            <w:r w:rsidRPr="00625642">
              <w:rPr>
                <w:noProof/>
                <w:lang w:eastAsia="en-US"/>
              </w:rPr>
              <w:t xml:space="preserve"> $558.6 </w:t>
            </w:r>
          </w:p>
        </w:tc>
        <w:tc>
          <w:tcPr>
            <w:tcW w:w="625" w:type="pct"/>
            <w:tcBorders>
              <w:bottom w:val="nil"/>
            </w:tcBorders>
            <w:noWrap/>
          </w:tcPr>
          <w:p w14:paraId="7D1842C4" w14:textId="77777777" w:rsidR="00625642" w:rsidRPr="00625642" w:rsidRDefault="00625642" w:rsidP="009C3DA8">
            <w:pPr>
              <w:pStyle w:val="TableText"/>
              <w:rPr>
                <w:noProof/>
                <w:lang w:eastAsia="en-US"/>
              </w:rPr>
            </w:pPr>
            <w:r w:rsidRPr="00625642">
              <w:rPr>
                <w:noProof/>
                <w:lang w:eastAsia="en-US"/>
              </w:rPr>
              <w:t xml:space="preserve"> $556.2 </w:t>
            </w:r>
          </w:p>
        </w:tc>
        <w:tc>
          <w:tcPr>
            <w:tcW w:w="625" w:type="pct"/>
            <w:tcBorders>
              <w:bottom w:val="nil"/>
            </w:tcBorders>
            <w:noWrap/>
          </w:tcPr>
          <w:p w14:paraId="26C64C85" w14:textId="77777777" w:rsidR="00625642" w:rsidRPr="00625642" w:rsidRDefault="00625642" w:rsidP="009C3DA8">
            <w:pPr>
              <w:pStyle w:val="TableText"/>
              <w:rPr>
                <w:noProof/>
                <w:lang w:eastAsia="en-US"/>
              </w:rPr>
            </w:pPr>
            <w:r w:rsidRPr="00625642">
              <w:rPr>
                <w:noProof/>
                <w:lang w:eastAsia="en-US"/>
              </w:rPr>
              <w:t xml:space="preserve"> $551.6 </w:t>
            </w:r>
          </w:p>
        </w:tc>
        <w:tc>
          <w:tcPr>
            <w:tcW w:w="625" w:type="pct"/>
            <w:tcBorders>
              <w:bottom w:val="nil"/>
            </w:tcBorders>
            <w:noWrap/>
          </w:tcPr>
          <w:p w14:paraId="207252C6" w14:textId="77777777" w:rsidR="00625642" w:rsidRPr="00625642" w:rsidRDefault="00625642" w:rsidP="009C3DA8">
            <w:pPr>
              <w:pStyle w:val="TableText"/>
              <w:rPr>
                <w:noProof/>
                <w:lang w:eastAsia="en-US"/>
              </w:rPr>
            </w:pPr>
            <w:r w:rsidRPr="00625642">
              <w:rPr>
                <w:noProof/>
                <w:lang w:eastAsia="en-US"/>
              </w:rPr>
              <w:t xml:space="preserve"> $550.2 </w:t>
            </w:r>
          </w:p>
        </w:tc>
      </w:tr>
      <w:tr w:rsidR="00625642" w:rsidRPr="00625642" w14:paraId="4C904E51" w14:textId="77777777" w:rsidTr="003875CB">
        <w:trPr>
          <w:trHeight w:val="283"/>
        </w:trPr>
        <w:tc>
          <w:tcPr>
            <w:tcW w:w="1250" w:type="pct"/>
            <w:tcBorders>
              <w:top w:val="nil"/>
            </w:tcBorders>
            <w:hideMark/>
          </w:tcPr>
          <w:p w14:paraId="559EC1A5"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tcBorders>
            <w:shd w:val="clear" w:color="auto" w:fill="F2F2F2" w:themeFill="background2"/>
            <w:noWrap/>
          </w:tcPr>
          <w:p w14:paraId="4677C157" w14:textId="77777777" w:rsidR="00625642" w:rsidRPr="00625642" w:rsidRDefault="00625642" w:rsidP="009C3DA8">
            <w:pPr>
              <w:pStyle w:val="TableText"/>
              <w:rPr>
                <w:noProof/>
                <w:lang w:eastAsia="en-US"/>
              </w:rPr>
            </w:pPr>
          </w:p>
        </w:tc>
        <w:tc>
          <w:tcPr>
            <w:tcW w:w="625" w:type="pct"/>
            <w:tcBorders>
              <w:top w:val="nil"/>
            </w:tcBorders>
            <w:noWrap/>
          </w:tcPr>
          <w:p w14:paraId="7B40FDBE" w14:textId="77777777" w:rsidR="00625642" w:rsidRPr="00625642" w:rsidRDefault="00625642" w:rsidP="009C3DA8">
            <w:pPr>
              <w:pStyle w:val="TableText"/>
              <w:rPr>
                <w:i/>
                <w:noProof/>
                <w:lang w:eastAsia="en-US"/>
              </w:rPr>
            </w:pPr>
            <w:r w:rsidRPr="00625642">
              <w:rPr>
                <w:i/>
                <w:noProof/>
                <w:lang w:eastAsia="en-US"/>
              </w:rPr>
              <w:t>-3.4%</w:t>
            </w:r>
          </w:p>
        </w:tc>
        <w:tc>
          <w:tcPr>
            <w:tcW w:w="625" w:type="pct"/>
            <w:tcBorders>
              <w:top w:val="nil"/>
            </w:tcBorders>
            <w:noWrap/>
          </w:tcPr>
          <w:p w14:paraId="07536BBF" w14:textId="77777777" w:rsidR="00625642" w:rsidRPr="00625642" w:rsidRDefault="00625642" w:rsidP="009C3DA8">
            <w:pPr>
              <w:pStyle w:val="TableText"/>
              <w:rPr>
                <w:i/>
                <w:noProof/>
                <w:lang w:eastAsia="en-US"/>
              </w:rPr>
            </w:pPr>
            <w:r w:rsidRPr="00625642">
              <w:rPr>
                <w:i/>
                <w:noProof/>
                <w:lang w:eastAsia="en-US"/>
              </w:rPr>
              <w:t>-0.7%</w:t>
            </w:r>
          </w:p>
        </w:tc>
        <w:tc>
          <w:tcPr>
            <w:tcW w:w="625" w:type="pct"/>
            <w:tcBorders>
              <w:top w:val="nil"/>
            </w:tcBorders>
            <w:noWrap/>
          </w:tcPr>
          <w:p w14:paraId="26592C78" w14:textId="77777777" w:rsidR="00625642" w:rsidRPr="00625642" w:rsidRDefault="00625642" w:rsidP="009C3DA8">
            <w:pPr>
              <w:pStyle w:val="TableText"/>
              <w:rPr>
                <w:i/>
                <w:noProof/>
                <w:lang w:eastAsia="en-US"/>
              </w:rPr>
            </w:pPr>
            <w:r w:rsidRPr="00625642">
              <w:rPr>
                <w:i/>
                <w:noProof/>
                <w:lang w:eastAsia="en-US"/>
              </w:rPr>
              <w:t>-0.4%</w:t>
            </w:r>
          </w:p>
        </w:tc>
        <w:tc>
          <w:tcPr>
            <w:tcW w:w="625" w:type="pct"/>
            <w:tcBorders>
              <w:top w:val="nil"/>
            </w:tcBorders>
            <w:noWrap/>
          </w:tcPr>
          <w:p w14:paraId="460BC645" w14:textId="77777777" w:rsidR="00625642" w:rsidRPr="00625642" w:rsidRDefault="00625642" w:rsidP="009C3DA8">
            <w:pPr>
              <w:pStyle w:val="TableText"/>
              <w:rPr>
                <w:i/>
                <w:noProof/>
                <w:lang w:eastAsia="en-US"/>
              </w:rPr>
            </w:pPr>
            <w:r w:rsidRPr="00625642">
              <w:rPr>
                <w:i/>
                <w:noProof/>
                <w:lang w:eastAsia="en-US"/>
              </w:rPr>
              <w:t>-0.8%</w:t>
            </w:r>
          </w:p>
        </w:tc>
        <w:tc>
          <w:tcPr>
            <w:tcW w:w="625" w:type="pct"/>
            <w:tcBorders>
              <w:top w:val="nil"/>
            </w:tcBorders>
            <w:noWrap/>
          </w:tcPr>
          <w:p w14:paraId="4CC21444" w14:textId="77777777" w:rsidR="00625642" w:rsidRPr="00625642" w:rsidRDefault="00625642" w:rsidP="009C3DA8">
            <w:pPr>
              <w:pStyle w:val="TableText"/>
              <w:rPr>
                <w:i/>
                <w:noProof/>
                <w:lang w:eastAsia="en-US"/>
              </w:rPr>
            </w:pPr>
            <w:r w:rsidRPr="00625642">
              <w:rPr>
                <w:i/>
                <w:noProof/>
                <w:lang w:eastAsia="en-US"/>
              </w:rPr>
              <w:t>-0.3%</w:t>
            </w:r>
          </w:p>
        </w:tc>
      </w:tr>
    </w:tbl>
    <w:p w14:paraId="694C5C27" w14:textId="018486FB" w:rsidR="00625642" w:rsidRPr="00625642" w:rsidRDefault="00625642" w:rsidP="00625642">
      <w:pPr>
        <w:pStyle w:val="BodyText"/>
        <w:rPr>
          <w:lang w:eastAsia="en-US"/>
        </w:rPr>
      </w:pPr>
      <w:r w:rsidRPr="00625642">
        <w:rPr>
          <w:lang w:eastAsia="en-US"/>
        </w:rPr>
        <w:t xml:space="preserve">We also supply a small amount of water to several regional water companies: Western Water, Barwon Water, South Gippsland Water, Westernport Water and Gippsland Water. </w:t>
      </w:r>
      <w:r>
        <w:rPr>
          <w:lang w:eastAsia="en-US"/>
        </w:rPr>
        <w:t>Table 2</w:t>
      </w:r>
      <w:r w:rsidRPr="00625642">
        <w:rPr>
          <w:lang w:eastAsia="en-US"/>
        </w:rPr>
        <w:t xml:space="preserve"> shows our contribution to their typical customer bill.</w:t>
      </w:r>
    </w:p>
    <w:p w14:paraId="389D08F3" w14:textId="37F1830C" w:rsidR="007F3C2C" w:rsidRDefault="007F3C2C" w:rsidP="007F3C2C">
      <w:pPr>
        <w:pStyle w:val="Caption"/>
      </w:pPr>
      <w:r>
        <w:lastRenderedPageBreak/>
        <w:t xml:space="preserve">Table </w:t>
      </w:r>
      <w:r>
        <w:fldChar w:fldCharType="begin"/>
      </w:r>
      <w:r>
        <w:instrText xml:space="preserve"> SEQ Table \* ARABIC </w:instrText>
      </w:r>
      <w:r>
        <w:fldChar w:fldCharType="separate"/>
      </w:r>
      <w:r>
        <w:rPr>
          <w:noProof/>
        </w:rPr>
        <w:t>2</w:t>
      </w:r>
      <w:r>
        <w:fldChar w:fldCharType="end"/>
      </w:r>
      <w:r>
        <w:t>: Wholesale water prices - impact on regional customers</w:t>
      </w:r>
      <w:r>
        <w:rPr>
          <w:rStyle w:val="FootnoteReference"/>
        </w:rPr>
        <w:footnoteReference w:id="3"/>
      </w:r>
    </w:p>
    <w:tbl>
      <w:tblPr>
        <w:tblW w:w="5000" w:type="pct"/>
        <w:tblLook w:val="06A0" w:firstRow="1" w:lastRow="0" w:firstColumn="1" w:lastColumn="0" w:noHBand="1" w:noVBand="1"/>
      </w:tblPr>
      <w:tblGrid>
        <w:gridCol w:w="2407"/>
        <w:gridCol w:w="1204"/>
        <w:gridCol w:w="1204"/>
        <w:gridCol w:w="1204"/>
        <w:gridCol w:w="1204"/>
        <w:gridCol w:w="1204"/>
        <w:gridCol w:w="1204"/>
      </w:tblGrid>
      <w:tr w:rsidR="00625642" w:rsidRPr="00625642" w14:paraId="17012716" w14:textId="77777777" w:rsidTr="003527E5">
        <w:trPr>
          <w:trHeight w:val="397"/>
          <w:tblHeader/>
        </w:trPr>
        <w:tc>
          <w:tcPr>
            <w:tcW w:w="1250" w:type="pct"/>
          </w:tcPr>
          <w:p w14:paraId="317833AA" w14:textId="77777777" w:rsidR="00625642" w:rsidRPr="003875CB" w:rsidRDefault="00625642" w:rsidP="009C3DA8">
            <w:pPr>
              <w:pStyle w:val="TableText"/>
              <w:rPr>
                <w:rStyle w:val="Bold"/>
                <w:lang w:eastAsia="en-US"/>
              </w:rPr>
            </w:pPr>
            <w:r w:rsidRPr="003875CB">
              <w:rPr>
                <w:rStyle w:val="Bold"/>
                <w:lang w:eastAsia="en-US"/>
              </w:rPr>
              <w:t>Retail water company</w:t>
            </w:r>
          </w:p>
        </w:tc>
        <w:tc>
          <w:tcPr>
            <w:tcW w:w="625" w:type="pct"/>
            <w:shd w:val="clear" w:color="auto" w:fill="BDD6EE" w:themeFill="accent1" w:themeFillTint="66"/>
            <w:noWrap/>
          </w:tcPr>
          <w:p w14:paraId="6B62BF05" w14:textId="77777777" w:rsidR="00625642" w:rsidRPr="003875CB" w:rsidRDefault="00625642" w:rsidP="009C3DA8">
            <w:pPr>
              <w:pStyle w:val="TableText"/>
              <w:rPr>
                <w:rStyle w:val="Bold"/>
                <w:lang w:eastAsia="en-US"/>
              </w:rPr>
            </w:pPr>
            <w:r w:rsidRPr="003875CB">
              <w:rPr>
                <w:rStyle w:val="Bold"/>
                <w:lang w:eastAsia="en-US"/>
              </w:rPr>
              <w:t>2020-21</w:t>
            </w:r>
          </w:p>
        </w:tc>
        <w:tc>
          <w:tcPr>
            <w:tcW w:w="625" w:type="pct"/>
            <w:noWrap/>
          </w:tcPr>
          <w:p w14:paraId="464720D9" w14:textId="77777777" w:rsidR="00625642" w:rsidRPr="003875CB" w:rsidRDefault="00625642" w:rsidP="009C3DA8">
            <w:pPr>
              <w:pStyle w:val="TableText"/>
              <w:rPr>
                <w:rStyle w:val="Bold"/>
                <w:lang w:eastAsia="en-US"/>
              </w:rPr>
            </w:pPr>
            <w:r w:rsidRPr="003875CB">
              <w:rPr>
                <w:rStyle w:val="Bold"/>
                <w:lang w:eastAsia="en-US"/>
              </w:rPr>
              <w:t>2021-22</w:t>
            </w:r>
          </w:p>
        </w:tc>
        <w:tc>
          <w:tcPr>
            <w:tcW w:w="625" w:type="pct"/>
            <w:noWrap/>
          </w:tcPr>
          <w:p w14:paraId="31C3EC64" w14:textId="77777777" w:rsidR="00625642" w:rsidRPr="003875CB" w:rsidRDefault="00625642" w:rsidP="009C3DA8">
            <w:pPr>
              <w:pStyle w:val="TableText"/>
              <w:rPr>
                <w:rStyle w:val="Bold"/>
                <w:lang w:eastAsia="en-US"/>
              </w:rPr>
            </w:pPr>
            <w:r w:rsidRPr="003875CB">
              <w:rPr>
                <w:rStyle w:val="Bold"/>
                <w:lang w:eastAsia="en-US"/>
              </w:rPr>
              <w:t>2022-23</w:t>
            </w:r>
          </w:p>
        </w:tc>
        <w:tc>
          <w:tcPr>
            <w:tcW w:w="625" w:type="pct"/>
            <w:noWrap/>
          </w:tcPr>
          <w:p w14:paraId="44507DB6" w14:textId="77777777" w:rsidR="00625642" w:rsidRPr="003875CB" w:rsidRDefault="00625642" w:rsidP="009C3DA8">
            <w:pPr>
              <w:pStyle w:val="TableText"/>
              <w:rPr>
                <w:rStyle w:val="Bold"/>
                <w:lang w:eastAsia="en-US"/>
              </w:rPr>
            </w:pPr>
            <w:r w:rsidRPr="003875CB">
              <w:rPr>
                <w:rStyle w:val="Bold"/>
                <w:lang w:eastAsia="en-US"/>
              </w:rPr>
              <w:t>2023-24</w:t>
            </w:r>
          </w:p>
        </w:tc>
        <w:tc>
          <w:tcPr>
            <w:tcW w:w="625" w:type="pct"/>
            <w:noWrap/>
          </w:tcPr>
          <w:p w14:paraId="5EF39099" w14:textId="77777777" w:rsidR="00625642" w:rsidRPr="003875CB" w:rsidRDefault="00625642" w:rsidP="009C3DA8">
            <w:pPr>
              <w:pStyle w:val="TableText"/>
              <w:rPr>
                <w:rStyle w:val="Bold"/>
                <w:lang w:eastAsia="en-US"/>
              </w:rPr>
            </w:pPr>
            <w:r w:rsidRPr="003875CB">
              <w:rPr>
                <w:rStyle w:val="Bold"/>
                <w:lang w:eastAsia="en-US"/>
              </w:rPr>
              <w:t>2024-25</w:t>
            </w:r>
          </w:p>
        </w:tc>
        <w:tc>
          <w:tcPr>
            <w:tcW w:w="625" w:type="pct"/>
            <w:noWrap/>
          </w:tcPr>
          <w:p w14:paraId="40FF237C" w14:textId="77777777" w:rsidR="00625642" w:rsidRPr="003875CB" w:rsidRDefault="00625642" w:rsidP="009C3DA8">
            <w:pPr>
              <w:pStyle w:val="TableText"/>
              <w:rPr>
                <w:rStyle w:val="Bold"/>
                <w:lang w:eastAsia="en-US"/>
              </w:rPr>
            </w:pPr>
            <w:r w:rsidRPr="003875CB">
              <w:rPr>
                <w:rStyle w:val="Bold"/>
                <w:lang w:eastAsia="en-US"/>
              </w:rPr>
              <w:t>2025-26</w:t>
            </w:r>
          </w:p>
        </w:tc>
      </w:tr>
      <w:tr w:rsidR="00625642" w:rsidRPr="00625642" w14:paraId="0C775CD3" w14:textId="77777777" w:rsidTr="00625642">
        <w:trPr>
          <w:trHeight w:val="397"/>
        </w:trPr>
        <w:tc>
          <w:tcPr>
            <w:tcW w:w="1250" w:type="pct"/>
            <w:tcBorders>
              <w:bottom w:val="nil"/>
            </w:tcBorders>
            <w:hideMark/>
          </w:tcPr>
          <w:p w14:paraId="22454512" w14:textId="77777777" w:rsidR="00625642" w:rsidRPr="00625642" w:rsidRDefault="00625642" w:rsidP="009C3DA8">
            <w:pPr>
              <w:pStyle w:val="TableText"/>
              <w:rPr>
                <w:noProof/>
                <w:lang w:eastAsia="en-US"/>
              </w:rPr>
            </w:pPr>
            <w:r w:rsidRPr="00625642">
              <w:rPr>
                <w:noProof/>
                <w:lang w:eastAsia="en-US"/>
              </w:rPr>
              <w:t>Western Water</w:t>
            </w:r>
          </w:p>
        </w:tc>
        <w:tc>
          <w:tcPr>
            <w:tcW w:w="625" w:type="pct"/>
            <w:tcBorders>
              <w:bottom w:val="nil"/>
            </w:tcBorders>
            <w:shd w:val="clear" w:color="auto" w:fill="F2F2F2" w:themeFill="background2"/>
            <w:noWrap/>
            <w:hideMark/>
          </w:tcPr>
          <w:p w14:paraId="5677815B" w14:textId="77777777" w:rsidR="00625642" w:rsidRPr="00625642" w:rsidRDefault="00625642" w:rsidP="009C3DA8">
            <w:pPr>
              <w:pStyle w:val="TableText"/>
              <w:rPr>
                <w:noProof/>
                <w:lang w:eastAsia="en-US"/>
              </w:rPr>
            </w:pPr>
            <w:r w:rsidRPr="00625642">
              <w:rPr>
                <w:noProof/>
                <w:lang w:eastAsia="en-US"/>
              </w:rPr>
              <w:t xml:space="preserve"> $130.3 </w:t>
            </w:r>
          </w:p>
        </w:tc>
        <w:tc>
          <w:tcPr>
            <w:tcW w:w="625" w:type="pct"/>
            <w:tcBorders>
              <w:bottom w:val="nil"/>
            </w:tcBorders>
            <w:noWrap/>
            <w:hideMark/>
          </w:tcPr>
          <w:p w14:paraId="41AA5447" w14:textId="77777777" w:rsidR="00625642" w:rsidRPr="00625642" w:rsidRDefault="00625642" w:rsidP="009C3DA8">
            <w:pPr>
              <w:pStyle w:val="TableText"/>
              <w:rPr>
                <w:noProof/>
                <w:lang w:eastAsia="en-US"/>
              </w:rPr>
            </w:pPr>
            <w:r w:rsidRPr="00625642">
              <w:rPr>
                <w:noProof/>
                <w:lang w:eastAsia="en-US"/>
              </w:rPr>
              <w:t xml:space="preserve"> $117.9 </w:t>
            </w:r>
          </w:p>
        </w:tc>
        <w:tc>
          <w:tcPr>
            <w:tcW w:w="625" w:type="pct"/>
            <w:tcBorders>
              <w:bottom w:val="nil"/>
            </w:tcBorders>
            <w:noWrap/>
            <w:hideMark/>
          </w:tcPr>
          <w:p w14:paraId="3E7007ED" w14:textId="77777777" w:rsidR="00625642" w:rsidRPr="00625642" w:rsidRDefault="00625642" w:rsidP="009C3DA8">
            <w:pPr>
              <w:pStyle w:val="TableText"/>
              <w:rPr>
                <w:noProof/>
                <w:lang w:eastAsia="en-US"/>
              </w:rPr>
            </w:pPr>
            <w:r w:rsidRPr="00625642">
              <w:rPr>
                <w:noProof/>
                <w:lang w:eastAsia="en-US"/>
              </w:rPr>
              <w:t xml:space="preserve"> $123.8 </w:t>
            </w:r>
          </w:p>
        </w:tc>
        <w:tc>
          <w:tcPr>
            <w:tcW w:w="625" w:type="pct"/>
            <w:tcBorders>
              <w:bottom w:val="nil"/>
            </w:tcBorders>
            <w:noWrap/>
            <w:hideMark/>
          </w:tcPr>
          <w:p w14:paraId="6AECEAA8" w14:textId="77777777" w:rsidR="00625642" w:rsidRPr="00625642" w:rsidRDefault="00625642" w:rsidP="009C3DA8">
            <w:pPr>
              <w:pStyle w:val="TableText"/>
              <w:rPr>
                <w:noProof/>
                <w:lang w:eastAsia="en-US"/>
              </w:rPr>
            </w:pPr>
            <w:r w:rsidRPr="00625642">
              <w:rPr>
                <w:noProof/>
                <w:lang w:eastAsia="en-US"/>
              </w:rPr>
              <w:t xml:space="preserve"> $127.9 </w:t>
            </w:r>
          </w:p>
        </w:tc>
        <w:tc>
          <w:tcPr>
            <w:tcW w:w="625" w:type="pct"/>
            <w:tcBorders>
              <w:bottom w:val="nil"/>
            </w:tcBorders>
            <w:noWrap/>
            <w:hideMark/>
          </w:tcPr>
          <w:p w14:paraId="1DF32DE3" w14:textId="77777777" w:rsidR="00625642" w:rsidRPr="00625642" w:rsidRDefault="00625642" w:rsidP="009C3DA8">
            <w:pPr>
              <w:pStyle w:val="TableText"/>
              <w:rPr>
                <w:noProof/>
                <w:lang w:eastAsia="en-US"/>
              </w:rPr>
            </w:pPr>
            <w:r w:rsidRPr="00625642">
              <w:rPr>
                <w:noProof/>
                <w:lang w:eastAsia="en-US"/>
              </w:rPr>
              <w:t xml:space="preserve"> $133.3 </w:t>
            </w:r>
          </w:p>
        </w:tc>
        <w:tc>
          <w:tcPr>
            <w:tcW w:w="625" w:type="pct"/>
            <w:tcBorders>
              <w:bottom w:val="nil"/>
            </w:tcBorders>
            <w:noWrap/>
            <w:hideMark/>
          </w:tcPr>
          <w:p w14:paraId="153424E0" w14:textId="77777777" w:rsidR="00625642" w:rsidRPr="00625642" w:rsidRDefault="00625642" w:rsidP="009C3DA8">
            <w:pPr>
              <w:pStyle w:val="TableText"/>
              <w:rPr>
                <w:noProof/>
                <w:lang w:eastAsia="en-US"/>
              </w:rPr>
            </w:pPr>
            <w:r w:rsidRPr="00625642">
              <w:rPr>
                <w:noProof/>
                <w:lang w:eastAsia="en-US"/>
              </w:rPr>
              <w:t xml:space="preserve"> $131.2 </w:t>
            </w:r>
          </w:p>
        </w:tc>
      </w:tr>
      <w:tr w:rsidR="00625642" w:rsidRPr="00625642" w14:paraId="4D1728CF" w14:textId="77777777" w:rsidTr="00625642">
        <w:trPr>
          <w:trHeight w:val="283"/>
        </w:trPr>
        <w:tc>
          <w:tcPr>
            <w:tcW w:w="1250" w:type="pct"/>
            <w:tcBorders>
              <w:top w:val="nil"/>
              <w:bottom w:val="single" w:sz="4" w:space="0" w:color="231F20"/>
            </w:tcBorders>
            <w:hideMark/>
          </w:tcPr>
          <w:p w14:paraId="5A30CE03"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hideMark/>
          </w:tcPr>
          <w:p w14:paraId="1D5C2E3F"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vAlign w:val="center"/>
            <w:hideMark/>
          </w:tcPr>
          <w:p w14:paraId="7466E29A" w14:textId="77777777" w:rsidR="00625642" w:rsidRPr="00625642" w:rsidRDefault="00625642" w:rsidP="009C3DA8">
            <w:pPr>
              <w:pStyle w:val="TableText"/>
              <w:rPr>
                <w:i/>
                <w:noProof/>
                <w:lang w:eastAsia="en-US"/>
              </w:rPr>
            </w:pPr>
            <w:r w:rsidRPr="00625642">
              <w:rPr>
                <w:i/>
                <w:noProof/>
                <w:lang w:eastAsia="en-US"/>
              </w:rPr>
              <w:t>-9.6%</w:t>
            </w:r>
          </w:p>
        </w:tc>
        <w:tc>
          <w:tcPr>
            <w:tcW w:w="625" w:type="pct"/>
            <w:tcBorders>
              <w:top w:val="nil"/>
              <w:bottom w:val="single" w:sz="4" w:space="0" w:color="231F20"/>
            </w:tcBorders>
            <w:noWrap/>
            <w:vAlign w:val="center"/>
            <w:hideMark/>
          </w:tcPr>
          <w:p w14:paraId="2A10253C" w14:textId="77777777" w:rsidR="00625642" w:rsidRPr="00625642" w:rsidRDefault="00625642" w:rsidP="009C3DA8">
            <w:pPr>
              <w:pStyle w:val="TableText"/>
              <w:rPr>
                <w:i/>
                <w:noProof/>
                <w:lang w:eastAsia="en-US"/>
              </w:rPr>
            </w:pPr>
            <w:r w:rsidRPr="00625642">
              <w:rPr>
                <w:i/>
                <w:noProof/>
                <w:lang w:eastAsia="en-US"/>
              </w:rPr>
              <w:t xml:space="preserve"> 5.0% </w:t>
            </w:r>
          </w:p>
        </w:tc>
        <w:tc>
          <w:tcPr>
            <w:tcW w:w="625" w:type="pct"/>
            <w:tcBorders>
              <w:top w:val="nil"/>
              <w:bottom w:val="single" w:sz="4" w:space="0" w:color="231F20"/>
            </w:tcBorders>
            <w:noWrap/>
            <w:vAlign w:val="center"/>
            <w:hideMark/>
          </w:tcPr>
          <w:p w14:paraId="487128DE" w14:textId="77777777" w:rsidR="00625642" w:rsidRPr="00625642" w:rsidRDefault="00625642" w:rsidP="009C3DA8">
            <w:pPr>
              <w:pStyle w:val="TableText"/>
              <w:rPr>
                <w:i/>
                <w:noProof/>
                <w:lang w:eastAsia="en-US"/>
              </w:rPr>
            </w:pPr>
            <w:r w:rsidRPr="00625642">
              <w:rPr>
                <w:i/>
                <w:noProof/>
                <w:lang w:eastAsia="en-US"/>
              </w:rPr>
              <w:t xml:space="preserve"> 3.4% </w:t>
            </w:r>
          </w:p>
        </w:tc>
        <w:tc>
          <w:tcPr>
            <w:tcW w:w="625" w:type="pct"/>
            <w:tcBorders>
              <w:top w:val="nil"/>
              <w:bottom w:val="single" w:sz="4" w:space="0" w:color="231F20"/>
            </w:tcBorders>
            <w:noWrap/>
            <w:vAlign w:val="center"/>
            <w:hideMark/>
          </w:tcPr>
          <w:p w14:paraId="38399DB9" w14:textId="77777777" w:rsidR="00625642" w:rsidRPr="00625642" w:rsidRDefault="00625642" w:rsidP="009C3DA8">
            <w:pPr>
              <w:pStyle w:val="TableText"/>
              <w:rPr>
                <w:i/>
                <w:noProof/>
                <w:lang w:eastAsia="en-US"/>
              </w:rPr>
            </w:pPr>
            <w:r w:rsidRPr="00625642">
              <w:rPr>
                <w:i/>
                <w:noProof/>
                <w:lang w:eastAsia="en-US"/>
              </w:rPr>
              <w:t xml:space="preserve"> 4.2% </w:t>
            </w:r>
          </w:p>
        </w:tc>
        <w:tc>
          <w:tcPr>
            <w:tcW w:w="625" w:type="pct"/>
            <w:tcBorders>
              <w:top w:val="nil"/>
              <w:bottom w:val="single" w:sz="4" w:space="0" w:color="231F20"/>
            </w:tcBorders>
            <w:noWrap/>
            <w:vAlign w:val="center"/>
            <w:hideMark/>
          </w:tcPr>
          <w:p w14:paraId="15648A37" w14:textId="77777777" w:rsidR="00625642" w:rsidRPr="00625642" w:rsidRDefault="00625642" w:rsidP="009C3DA8">
            <w:pPr>
              <w:pStyle w:val="TableText"/>
              <w:rPr>
                <w:i/>
                <w:noProof/>
                <w:lang w:eastAsia="en-US"/>
              </w:rPr>
            </w:pPr>
            <w:r w:rsidRPr="00625642">
              <w:rPr>
                <w:i/>
                <w:noProof/>
                <w:lang w:eastAsia="en-US"/>
              </w:rPr>
              <w:t>-1.6%</w:t>
            </w:r>
          </w:p>
        </w:tc>
      </w:tr>
      <w:tr w:rsidR="00625642" w:rsidRPr="00625642" w14:paraId="76B264C1" w14:textId="77777777" w:rsidTr="00625642">
        <w:trPr>
          <w:trHeight w:val="397"/>
        </w:trPr>
        <w:tc>
          <w:tcPr>
            <w:tcW w:w="1250" w:type="pct"/>
            <w:tcBorders>
              <w:bottom w:val="nil"/>
            </w:tcBorders>
            <w:hideMark/>
          </w:tcPr>
          <w:p w14:paraId="0C857C52" w14:textId="77777777" w:rsidR="00625642" w:rsidRPr="00625642" w:rsidRDefault="00625642" w:rsidP="009C3DA8">
            <w:pPr>
              <w:pStyle w:val="TableText"/>
              <w:rPr>
                <w:noProof/>
                <w:lang w:eastAsia="en-US"/>
              </w:rPr>
            </w:pPr>
            <w:r w:rsidRPr="00625642">
              <w:rPr>
                <w:noProof/>
                <w:lang w:eastAsia="en-US"/>
              </w:rPr>
              <w:t>Barwon Water</w:t>
            </w:r>
          </w:p>
        </w:tc>
        <w:tc>
          <w:tcPr>
            <w:tcW w:w="625" w:type="pct"/>
            <w:tcBorders>
              <w:bottom w:val="nil"/>
            </w:tcBorders>
            <w:shd w:val="clear" w:color="auto" w:fill="F2F2F2" w:themeFill="background2"/>
            <w:noWrap/>
          </w:tcPr>
          <w:p w14:paraId="77FF1793" w14:textId="77777777" w:rsidR="00625642" w:rsidRPr="00625642" w:rsidRDefault="00625642" w:rsidP="009C3DA8">
            <w:pPr>
              <w:pStyle w:val="TableText"/>
              <w:rPr>
                <w:noProof/>
                <w:lang w:eastAsia="en-US"/>
              </w:rPr>
            </w:pPr>
            <w:r w:rsidRPr="00625642">
              <w:rPr>
                <w:noProof/>
                <w:lang w:eastAsia="en-US"/>
              </w:rPr>
              <w:t>$37.8</w:t>
            </w:r>
          </w:p>
        </w:tc>
        <w:tc>
          <w:tcPr>
            <w:tcW w:w="625" w:type="pct"/>
            <w:tcBorders>
              <w:bottom w:val="nil"/>
            </w:tcBorders>
            <w:noWrap/>
          </w:tcPr>
          <w:p w14:paraId="10384EAD" w14:textId="77777777" w:rsidR="00625642" w:rsidRPr="00625642" w:rsidRDefault="00625642" w:rsidP="009C3DA8">
            <w:pPr>
              <w:pStyle w:val="TableText"/>
              <w:rPr>
                <w:noProof/>
                <w:lang w:eastAsia="en-US"/>
              </w:rPr>
            </w:pPr>
            <w:r w:rsidRPr="00625642">
              <w:rPr>
                <w:noProof/>
                <w:lang w:eastAsia="en-US"/>
              </w:rPr>
              <w:t>$31.8</w:t>
            </w:r>
          </w:p>
        </w:tc>
        <w:tc>
          <w:tcPr>
            <w:tcW w:w="625" w:type="pct"/>
            <w:tcBorders>
              <w:bottom w:val="nil"/>
            </w:tcBorders>
            <w:noWrap/>
          </w:tcPr>
          <w:p w14:paraId="5B2F0874" w14:textId="77777777" w:rsidR="00625642" w:rsidRPr="00625642" w:rsidRDefault="00625642" w:rsidP="009C3DA8">
            <w:pPr>
              <w:pStyle w:val="TableText"/>
              <w:rPr>
                <w:noProof/>
                <w:lang w:eastAsia="en-US"/>
              </w:rPr>
            </w:pPr>
            <w:r w:rsidRPr="00625642">
              <w:rPr>
                <w:noProof/>
                <w:lang w:eastAsia="en-US"/>
              </w:rPr>
              <w:t>$32.0</w:t>
            </w:r>
          </w:p>
        </w:tc>
        <w:tc>
          <w:tcPr>
            <w:tcW w:w="625" w:type="pct"/>
            <w:tcBorders>
              <w:bottom w:val="nil"/>
            </w:tcBorders>
            <w:noWrap/>
          </w:tcPr>
          <w:p w14:paraId="36644087" w14:textId="77777777" w:rsidR="00625642" w:rsidRPr="00625642" w:rsidRDefault="00625642" w:rsidP="009C3DA8">
            <w:pPr>
              <w:pStyle w:val="TableText"/>
              <w:rPr>
                <w:noProof/>
                <w:lang w:eastAsia="en-US"/>
              </w:rPr>
            </w:pPr>
            <w:r w:rsidRPr="00625642">
              <w:rPr>
                <w:noProof/>
                <w:lang w:eastAsia="en-US"/>
              </w:rPr>
              <w:t>$33.3</w:t>
            </w:r>
          </w:p>
        </w:tc>
        <w:tc>
          <w:tcPr>
            <w:tcW w:w="625" w:type="pct"/>
            <w:tcBorders>
              <w:bottom w:val="nil"/>
            </w:tcBorders>
            <w:noWrap/>
          </w:tcPr>
          <w:p w14:paraId="3F0C5495" w14:textId="77777777" w:rsidR="00625642" w:rsidRPr="00625642" w:rsidRDefault="00625642" w:rsidP="009C3DA8">
            <w:pPr>
              <w:pStyle w:val="TableText"/>
              <w:rPr>
                <w:noProof/>
                <w:lang w:eastAsia="en-US"/>
              </w:rPr>
            </w:pPr>
            <w:r w:rsidRPr="00625642">
              <w:rPr>
                <w:noProof/>
                <w:lang w:eastAsia="en-US"/>
              </w:rPr>
              <w:t>$35.2</w:t>
            </w:r>
          </w:p>
        </w:tc>
        <w:tc>
          <w:tcPr>
            <w:tcW w:w="625" w:type="pct"/>
            <w:tcBorders>
              <w:bottom w:val="nil"/>
            </w:tcBorders>
            <w:noWrap/>
          </w:tcPr>
          <w:p w14:paraId="5715B44A" w14:textId="77777777" w:rsidR="00625642" w:rsidRPr="00625642" w:rsidRDefault="00625642" w:rsidP="009C3DA8">
            <w:pPr>
              <w:pStyle w:val="TableText"/>
              <w:rPr>
                <w:noProof/>
                <w:lang w:eastAsia="en-US"/>
              </w:rPr>
            </w:pPr>
            <w:r w:rsidRPr="00625642">
              <w:rPr>
                <w:noProof/>
                <w:lang w:eastAsia="en-US"/>
              </w:rPr>
              <w:t>$36.4</w:t>
            </w:r>
          </w:p>
        </w:tc>
      </w:tr>
      <w:tr w:rsidR="00625642" w:rsidRPr="00625642" w14:paraId="44A73DA8" w14:textId="77777777" w:rsidTr="00625642">
        <w:trPr>
          <w:trHeight w:val="283"/>
        </w:trPr>
        <w:tc>
          <w:tcPr>
            <w:tcW w:w="1250" w:type="pct"/>
            <w:tcBorders>
              <w:top w:val="nil"/>
              <w:bottom w:val="single" w:sz="4" w:space="0" w:color="231F20"/>
            </w:tcBorders>
            <w:hideMark/>
          </w:tcPr>
          <w:p w14:paraId="34D03334"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tcPr>
          <w:p w14:paraId="32492BBB"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tcPr>
          <w:p w14:paraId="3C1F769B" w14:textId="77777777" w:rsidR="00625642" w:rsidRPr="00625642" w:rsidRDefault="00625642" w:rsidP="009C3DA8">
            <w:pPr>
              <w:pStyle w:val="TableText"/>
              <w:rPr>
                <w:i/>
                <w:noProof/>
                <w:lang w:eastAsia="en-US"/>
              </w:rPr>
            </w:pPr>
            <w:r w:rsidRPr="00625642">
              <w:rPr>
                <w:i/>
                <w:noProof/>
                <w:lang w:eastAsia="en-US"/>
              </w:rPr>
              <w:t>-16.0%</w:t>
            </w:r>
          </w:p>
        </w:tc>
        <w:tc>
          <w:tcPr>
            <w:tcW w:w="625" w:type="pct"/>
            <w:tcBorders>
              <w:top w:val="nil"/>
              <w:bottom w:val="single" w:sz="4" w:space="0" w:color="231F20"/>
            </w:tcBorders>
            <w:noWrap/>
          </w:tcPr>
          <w:p w14:paraId="1E15F1B3" w14:textId="77777777" w:rsidR="00625642" w:rsidRPr="00625642" w:rsidRDefault="00625642" w:rsidP="009C3DA8">
            <w:pPr>
              <w:pStyle w:val="TableText"/>
              <w:rPr>
                <w:i/>
                <w:noProof/>
                <w:lang w:eastAsia="en-US"/>
              </w:rPr>
            </w:pPr>
            <w:r w:rsidRPr="00625642">
              <w:rPr>
                <w:i/>
                <w:noProof/>
                <w:lang w:eastAsia="en-US"/>
              </w:rPr>
              <w:t xml:space="preserve"> 0.7% </w:t>
            </w:r>
          </w:p>
        </w:tc>
        <w:tc>
          <w:tcPr>
            <w:tcW w:w="625" w:type="pct"/>
            <w:tcBorders>
              <w:top w:val="nil"/>
              <w:bottom w:val="single" w:sz="4" w:space="0" w:color="231F20"/>
            </w:tcBorders>
            <w:noWrap/>
          </w:tcPr>
          <w:p w14:paraId="4AE62E41" w14:textId="77777777" w:rsidR="00625642" w:rsidRPr="00625642" w:rsidRDefault="00625642" w:rsidP="009C3DA8">
            <w:pPr>
              <w:pStyle w:val="TableText"/>
              <w:rPr>
                <w:i/>
                <w:noProof/>
                <w:lang w:eastAsia="en-US"/>
              </w:rPr>
            </w:pPr>
            <w:r w:rsidRPr="00625642">
              <w:rPr>
                <w:i/>
                <w:noProof/>
                <w:lang w:eastAsia="en-US"/>
              </w:rPr>
              <w:t xml:space="preserve"> 3.9% </w:t>
            </w:r>
          </w:p>
        </w:tc>
        <w:tc>
          <w:tcPr>
            <w:tcW w:w="625" w:type="pct"/>
            <w:tcBorders>
              <w:top w:val="nil"/>
              <w:bottom w:val="single" w:sz="4" w:space="0" w:color="231F20"/>
            </w:tcBorders>
            <w:noWrap/>
          </w:tcPr>
          <w:p w14:paraId="7B893F5D" w14:textId="77777777" w:rsidR="00625642" w:rsidRPr="00625642" w:rsidRDefault="00625642" w:rsidP="009C3DA8">
            <w:pPr>
              <w:pStyle w:val="TableText"/>
              <w:rPr>
                <w:i/>
                <w:noProof/>
                <w:lang w:eastAsia="en-US"/>
              </w:rPr>
            </w:pPr>
            <w:r w:rsidRPr="00625642">
              <w:rPr>
                <w:i/>
                <w:noProof/>
                <w:lang w:eastAsia="en-US"/>
              </w:rPr>
              <w:t xml:space="preserve"> 5.7% </w:t>
            </w:r>
          </w:p>
        </w:tc>
        <w:tc>
          <w:tcPr>
            <w:tcW w:w="625" w:type="pct"/>
            <w:tcBorders>
              <w:top w:val="nil"/>
              <w:bottom w:val="single" w:sz="4" w:space="0" w:color="231F20"/>
            </w:tcBorders>
            <w:noWrap/>
          </w:tcPr>
          <w:p w14:paraId="5B50C520" w14:textId="77777777" w:rsidR="00625642" w:rsidRPr="00625642" w:rsidRDefault="00625642" w:rsidP="009C3DA8">
            <w:pPr>
              <w:pStyle w:val="TableText"/>
              <w:rPr>
                <w:i/>
                <w:noProof/>
                <w:lang w:eastAsia="en-US"/>
              </w:rPr>
            </w:pPr>
            <w:r w:rsidRPr="00625642">
              <w:rPr>
                <w:i/>
                <w:noProof/>
                <w:lang w:eastAsia="en-US"/>
              </w:rPr>
              <w:t xml:space="preserve"> 3.4% </w:t>
            </w:r>
          </w:p>
        </w:tc>
      </w:tr>
      <w:tr w:rsidR="00625642" w:rsidRPr="00625642" w14:paraId="69BDB81C" w14:textId="77777777" w:rsidTr="00625642">
        <w:trPr>
          <w:trHeight w:val="397"/>
        </w:trPr>
        <w:tc>
          <w:tcPr>
            <w:tcW w:w="1250" w:type="pct"/>
            <w:tcBorders>
              <w:bottom w:val="nil"/>
            </w:tcBorders>
            <w:hideMark/>
          </w:tcPr>
          <w:p w14:paraId="5EF5387C" w14:textId="77777777" w:rsidR="00625642" w:rsidRPr="00625642" w:rsidRDefault="00625642" w:rsidP="009C3DA8">
            <w:pPr>
              <w:pStyle w:val="TableText"/>
              <w:rPr>
                <w:noProof/>
                <w:lang w:eastAsia="en-US"/>
              </w:rPr>
            </w:pPr>
            <w:r w:rsidRPr="00625642">
              <w:rPr>
                <w:noProof/>
                <w:lang w:eastAsia="en-US"/>
              </w:rPr>
              <w:t>South Gippsland Water</w:t>
            </w:r>
          </w:p>
        </w:tc>
        <w:tc>
          <w:tcPr>
            <w:tcW w:w="625" w:type="pct"/>
            <w:tcBorders>
              <w:bottom w:val="nil"/>
            </w:tcBorders>
            <w:shd w:val="clear" w:color="auto" w:fill="F2F2F2" w:themeFill="background2"/>
            <w:noWrap/>
          </w:tcPr>
          <w:p w14:paraId="0084E0D1" w14:textId="77777777" w:rsidR="00625642" w:rsidRPr="00625642" w:rsidRDefault="00625642" w:rsidP="009C3DA8">
            <w:pPr>
              <w:pStyle w:val="TableText"/>
              <w:rPr>
                <w:noProof/>
                <w:lang w:eastAsia="en-US"/>
              </w:rPr>
            </w:pPr>
            <w:r w:rsidRPr="00625642">
              <w:rPr>
                <w:noProof/>
                <w:lang w:eastAsia="en-US"/>
              </w:rPr>
              <w:t>$26.7</w:t>
            </w:r>
          </w:p>
        </w:tc>
        <w:tc>
          <w:tcPr>
            <w:tcW w:w="625" w:type="pct"/>
            <w:tcBorders>
              <w:bottom w:val="nil"/>
            </w:tcBorders>
            <w:noWrap/>
          </w:tcPr>
          <w:p w14:paraId="04B15765" w14:textId="77777777" w:rsidR="00625642" w:rsidRPr="00625642" w:rsidRDefault="00625642" w:rsidP="009C3DA8">
            <w:pPr>
              <w:pStyle w:val="TableText"/>
              <w:rPr>
                <w:noProof/>
                <w:lang w:eastAsia="en-US"/>
              </w:rPr>
            </w:pPr>
            <w:r w:rsidRPr="00625642">
              <w:rPr>
                <w:noProof/>
                <w:lang w:eastAsia="en-US"/>
              </w:rPr>
              <w:t>$24.5</w:t>
            </w:r>
          </w:p>
        </w:tc>
        <w:tc>
          <w:tcPr>
            <w:tcW w:w="625" w:type="pct"/>
            <w:tcBorders>
              <w:bottom w:val="nil"/>
            </w:tcBorders>
            <w:noWrap/>
          </w:tcPr>
          <w:p w14:paraId="22726A47" w14:textId="77777777" w:rsidR="00625642" w:rsidRPr="00625642" w:rsidRDefault="00625642" w:rsidP="009C3DA8">
            <w:pPr>
              <w:pStyle w:val="TableText"/>
              <w:rPr>
                <w:noProof/>
                <w:lang w:eastAsia="en-US"/>
              </w:rPr>
            </w:pPr>
            <w:r w:rsidRPr="00625642">
              <w:rPr>
                <w:noProof/>
                <w:lang w:eastAsia="en-US"/>
              </w:rPr>
              <w:t>$24.8</w:t>
            </w:r>
          </w:p>
        </w:tc>
        <w:tc>
          <w:tcPr>
            <w:tcW w:w="625" w:type="pct"/>
            <w:tcBorders>
              <w:bottom w:val="nil"/>
            </w:tcBorders>
            <w:noWrap/>
          </w:tcPr>
          <w:p w14:paraId="1A63E7B1" w14:textId="77777777" w:rsidR="00625642" w:rsidRPr="00625642" w:rsidRDefault="00625642" w:rsidP="009C3DA8">
            <w:pPr>
              <w:pStyle w:val="TableText"/>
              <w:rPr>
                <w:noProof/>
                <w:lang w:eastAsia="en-US"/>
              </w:rPr>
            </w:pPr>
            <w:r w:rsidRPr="00625642">
              <w:rPr>
                <w:noProof/>
                <w:lang w:eastAsia="en-US"/>
              </w:rPr>
              <w:t>$25.5</w:t>
            </w:r>
          </w:p>
        </w:tc>
        <w:tc>
          <w:tcPr>
            <w:tcW w:w="625" w:type="pct"/>
            <w:tcBorders>
              <w:bottom w:val="nil"/>
            </w:tcBorders>
            <w:noWrap/>
          </w:tcPr>
          <w:p w14:paraId="05BC26D7" w14:textId="77777777" w:rsidR="00625642" w:rsidRPr="00625642" w:rsidRDefault="00625642" w:rsidP="009C3DA8">
            <w:pPr>
              <w:pStyle w:val="TableText"/>
              <w:rPr>
                <w:noProof/>
                <w:lang w:eastAsia="en-US"/>
              </w:rPr>
            </w:pPr>
            <w:r w:rsidRPr="00625642">
              <w:rPr>
                <w:noProof/>
                <w:lang w:eastAsia="en-US"/>
              </w:rPr>
              <w:t>$26.0</w:t>
            </w:r>
          </w:p>
        </w:tc>
        <w:tc>
          <w:tcPr>
            <w:tcW w:w="625" w:type="pct"/>
            <w:tcBorders>
              <w:bottom w:val="nil"/>
            </w:tcBorders>
            <w:noWrap/>
          </w:tcPr>
          <w:p w14:paraId="1E2AC469" w14:textId="77777777" w:rsidR="00625642" w:rsidRPr="00625642" w:rsidRDefault="00625642" w:rsidP="009C3DA8">
            <w:pPr>
              <w:pStyle w:val="TableText"/>
              <w:rPr>
                <w:noProof/>
                <w:lang w:eastAsia="en-US"/>
              </w:rPr>
            </w:pPr>
            <w:r w:rsidRPr="00625642">
              <w:rPr>
                <w:noProof/>
                <w:lang w:eastAsia="en-US"/>
              </w:rPr>
              <w:t>$28.8</w:t>
            </w:r>
          </w:p>
        </w:tc>
      </w:tr>
      <w:tr w:rsidR="00625642" w:rsidRPr="00625642" w14:paraId="5D58F50C" w14:textId="77777777" w:rsidTr="00625642">
        <w:trPr>
          <w:trHeight w:val="283"/>
        </w:trPr>
        <w:tc>
          <w:tcPr>
            <w:tcW w:w="1250" w:type="pct"/>
            <w:tcBorders>
              <w:top w:val="nil"/>
              <w:bottom w:val="single" w:sz="4" w:space="0" w:color="231F20"/>
            </w:tcBorders>
            <w:hideMark/>
          </w:tcPr>
          <w:p w14:paraId="2E4D0910"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tcPr>
          <w:p w14:paraId="5C6188C5"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tcPr>
          <w:p w14:paraId="24C8E53B" w14:textId="77777777" w:rsidR="00625642" w:rsidRPr="00625642" w:rsidRDefault="00625642" w:rsidP="009C3DA8">
            <w:pPr>
              <w:pStyle w:val="TableText"/>
              <w:rPr>
                <w:i/>
                <w:noProof/>
                <w:lang w:eastAsia="en-US"/>
              </w:rPr>
            </w:pPr>
            <w:r w:rsidRPr="00625642">
              <w:rPr>
                <w:i/>
                <w:noProof/>
                <w:lang w:eastAsia="en-US"/>
              </w:rPr>
              <w:t>-8.3%</w:t>
            </w:r>
          </w:p>
        </w:tc>
        <w:tc>
          <w:tcPr>
            <w:tcW w:w="625" w:type="pct"/>
            <w:tcBorders>
              <w:top w:val="nil"/>
              <w:bottom w:val="single" w:sz="4" w:space="0" w:color="231F20"/>
            </w:tcBorders>
            <w:noWrap/>
          </w:tcPr>
          <w:p w14:paraId="4A0EBEFB" w14:textId="77777777" w:rsidR="00625642" w:rsidRPr="00625642" w:rsidRDefault="00625642" w:rsidP="009C3DA8">
            <w:pPr>
              <w:pStyle w:val="TableText"/>
              <w:rPr>
                <w:i/>
                <w:noProof/>
                <w:lang w:eastAsia="en-US"/>
              </w:rPr>
            </w:pPr>
            <w:r w:rsidRPr="00625642">
              <w:rPr>
                <w:i/>
                <w:noProof/>
                <w:lang w:eastAsia="en-US"/>
              </w:rPr>
              <w:t xml:space="preserve"> 1.3% </w:t>
            </w:r>
          </w:p>
        </w:tc>
        <w:tc>
          <w:tcPr>
            <w:tcW w:w="625" w:type="pct"/>
            <w:tcBorders>
              <w:top w:val="nil"/>
              <w:bottom w:val="single" w:sz="4" w:space="0" w:color="231F20"/>
            </w:tcBorders>
            <w:noWrap/>
          </w:tcPr>
          <w:p w14:paraId="32C18604" w14:textId="77777777" w:rsidR="00625642" w:rsidRPr="00625642" w:rsidRDefault="00625642" w:rsidP="009C3DA8">
            <w:pPr>
              <w:pStyle w:val="TableText"/>
              <w:rPr>
                <w:i/>
                <w:noProof/>
                <w:lang w:eastAsia="en-US"/>
              </w:rPr>
            </w:pPr>
            <w:r w:rsidRPr="00625642">
              <w:rPr>
                <w:i/>
                <w:noProof/>
                <w:lang w:eastAsia="en-US"/>
              </w:rPr>
              <w:t xml:space="preserve"> 2.7% </w:t>
            </w:r>
          </w:p>
        </w:tc>
        <w:tc>
          <w:tcPr>
            <w:tcW w:w="625" w:type="pct"/>
            <w:tcBorders>
              <w:top w:val="nil"/>
              <w:bottom w:val="single" w:sz="4" w:space="0" w:color="231F20"/>
            </w:tcBorders>
            <w:noWrap/>
          </w:tcPr>
          <w:p w14:paraId="453F1155" w14:textId="77777777" w:rsidR="00625642" w:rsidRPr="00625642" w:rsidRDefault="00625642" w:rsidP="009C3DA8">
            <w:pPr>
              <w:pStyle w:val="TableText"/>
              <w:rPr>
                <w:i/>
                <w:noProof/>
                <w:lang w:eastAsia="en-US"/>
              </w:rPr>
            </w:pPr>
            <w:r w:rsidRPr="00625642">
              <w:rPr>
                <w:i/>
                <w:noProof/>
                <w:lang w:eastAsia="en-US"/>
              </w:rPr>
              <w:t>1.8%</w:t>
            </w:r>
          </w:p>
        </w:tc>
        <w:tc>
          <w:tcPr>
            <w:tcW w:w="625" w:type="pct"/>
            <w:tcBorders>
              <w:top w:val="nil"/>
              <w:bottom w:val="single" w:sz="4" w:space="0" w:color="231F20"/>
            </w:tcBorders>
            <w:noWrap/>
          </w:tcPr>
          <w:p w14:paraId="1F88C777" w14:textId="04398C98" w:rsidR="00625642" w:rsidRPr="00625642" w:rsidRDefault="00625642" w:rsidP="009C3DA8">
            <w:pPr>
              <w:pStyle w:val="TableText"/>
              <w:rPr>
                <w:i/>
                <w:noProof/>
                <w:lang w:eastAsia="en-US"/>
              </w:rPr>
            </w:pPr>
            <w:r>
              <w:rPr>
                <w:i/>
                <w:lang w:eastAsia="en-US"/>
              </w:rPr>
              <w:t>10.9%</w:t>
            </w:r>
          </w:p>
        </w:tc>
      </w:tr>
      <w:tr w:rsidR="00625642" w:rsidRPr="00625642" w14:paraId="73F1154A" w14:textId="77777777" w:rsidTr="00625642">
        <w:trPr>
          <w:trHeight w:val="283"/>
        </w:trPr>
        <w:tc>
          <w:tcPr>
            <w:tcW w:w="1250" w:type="pct"/>
            <w:tcBorders>
              <w:bottom w:val="nil"/>
            </w:tcBorders>
          </w:tcPr>
          <w:p w14:paraId="38BDBEE0" w14:textId="77777777" w:rsidR="00625642" w:rsidRPr="00625642" w:rsidRDefault="00625642" w:rsidP="009C3DA8">
            <w:pPr>
              <w:pStyle w:val="TableText"/>
              <w:rPr>
                <w:noProof/>
                <w:lang w:eastAsia="en-US"/>
              </w:rPr>
            </w:pPr>
            <w:r w:rsidRPr="00625642">
              <w:rPr>
                <w:noProof/>
                <w:lang w:eastAsia="en-US"/>
              </w:rPr>
              <w:t>Westernport Water</w:t>
            </w:r>
          </w:p>
        </w:tc>
        <w:tc>
          <w:tcPr>
            <w:tcW w:w="625" w:type="pct"/>
            <w:tcBorders>
              <w:bottom w:val="nil"/>
            </w:tcBorders>
            <w:shd w:val="clear" w:color="auto" w:fill="F2F2F2" w:themeFill="background2"/>
            <w:noWrap/>
          </w:tcPr>
          <w:p w14:paraId="62507855" w14:textId="77777777" w:rsidR="00625642" w:rsidRPr="00625642" w:rsidRDefault="00625642" w:rsidP="009C3DA8">
            <w:pPr>
              <w:pStyle w:val="TableText"/>
              <w:rPr>
                <w:noProof/>
                <w:lang w:eastAsia="en-US"/>
              </w:rPr>
            </w:pPr>
            <w:r w:rsidRPr="00625642">
              <w:rPr>
                <w:noProof/>
                <w:lang w:eastAsia="en-US"/>
              </w:rPr>
              <w:t>$29.4</w:t>
            </w:r>
          </w:p>
        </w:tc>
        <w:tc>
          <w:tcPr>
            <w:tcW w:w="625" w:type="pct"/>
            <w:tcBorders>
              <w:bottom w:val="nil"/>
            </w:tcBorders>
            <w:noWrap/>
          </w:tcPr>
          <w:p w14:paraId="4425305E" w14:textId="77777777" w:rsidR="00625642" w:rsidRPr="00625642" w:rsidRDefault="00625642" w:rsidP="009C3DA8">
            <w:pPr>
              <w:pStyle w:val="TableText"/>
              <w:rPr>
                <w:noProof/>
                <w:lang w:eastAsia="en-US"/>
              </w:rPr>
            </w:pPr>
            <w:r w:rsidRPr="00625642">
              <w:rPr>
                <w:noProof/>
                <w:lang w:eastAsia="en-US"/>
              </w:rPr>
              <w:t>$26.6</w:t>
            </w:r>
          </w:p>
        </w:tc>
        <w:tc>
          <w:tcPr>
            <w:tcW w:w="625" w:type="pct"/>
            <w:tcBorders>
              <w:bottom w:val="nil"/>
            </w:tcBorders>
            <w:noWrap/>
          </w:tcPr>
          <w:p w14:paraId="61BD57AB" w14:textId="77777777" w:rsidR="00625642" w:rsidRPr="00625642" w:rsidRDefault="00625642" w:rsidP="009C3DA8">
            <w:pPr>
              <w:pStyle w:val="TableText"/>
              <w:rPr>
                <w:noProof/>
                <w:lang w:eastAsia="en-US"/>
              </w:rPr>
            </w:pPr>
            <w:r w:rsidRPr="00625642">
              <w:rPr>
                <w:noProof/>
                <w:lang w:eastAsia="en-US"/>
              </w:rPr>
              <w:t>$26.9</w:t>
            </w:r>
          </w:p>
        </w:tc>
        <w:tc>
          <w:tcPr>
            <w:tcW w:w="625" w:type="pct"/>
            <w:tcBorders>
              <w:bottom w:val="nil"/>
            </w:tcBorders>
            <w:noWrap/>
          </w:tcPr>
          <w:p w14:paraId="37D92CF0" w14:textId="77777777" w:rsidR="00625642" w:rsidRPr="00625642" w:rsidRDefault="00625642" w:rsidP="009C3DA8">
            <w:pPr>
              <w:pStyle w:val="TableText"/>
              <w:rPr>
                <w:noProof/>
                <w:lang w:eastAsia="en-US"/>
              </w:rPr>
            </w:pPr>
            <w:r w:rsidRPr="00625642">
              <w:rPr>
                <w:noProof/>
                <w:lang w:eastAsia="en-US"/>
              </w:rPr>
              <w:t>$27.6</w:t>
            </w:r>
          </w:p>
        </w:tc>
        <w:tc>
          <w:tcPr>
            <w:tcW w:w="625" w:type="pct"/>
            <w:tcBorders>
              <w:bottom w:val="nil"/>
            </w:tcBorders>
            <w:noWrap/>
          </w:tcPr>
          <w:p w14:paraId="219DC9A8" w14:textId="77777777" w:rsidR="00625642" w:rsidRPr="00625642" w:rsidRDefault="00625642" w:rsidP="009C3DA8">
            <w:pPr>
              <w:pStyle w:val="TableText"/>
              <w:rPr>
                <w:noProof/>
                <w:lang w:eastAsia="en-US"/>
              </w:rPr>
            </w:pPr>
            <w:r w:rsidRPr="00625642">
              <w:rPr>
                <w:noProof/>
                <w:lang w:eastAsia="en-US"/>
              </w:rPr>
              <w:t>$28.1</w:t>
            </w:r>
          </w:p>
        </w:tc>
        <w:tc>
          <w:tcPr>
            <w:tcW w:w="625" w:type="pct"/>
            <w:tcBorders>
              <w:bottom w:val="nil"/>
            </w:tcBorders>
            <w:noWrap/>
          </w:tcPr>
          <w:p w14:paraId="3D4DFD09" w14:textId="77777777" w:rsidR="00625642" w:rsidRPr="00625642" w:rsidRDefault="00625642" w:rsidP="009C3DA8">
            <w:pPr>
              <w:pStyle w:val="TableText"/>
              <w:rPr>
                <w:noProof/>
                <w:lang w:eastAsia="en-US"/>
              </w:rPr>
            </w:pPr>
            <w:r w:rsidRPr="00625642">
              <w:rPr>
                <w:noProof/>
                <w:lang w:eastAsia="en-US"/>
              </w:rPr>
              <w:t>$28.4</w:t>
            </w:r>
          </w:p>
        </w:tc>
      </w:tr>
      <w:tr w:rsidR="00625642" w:rsidRPr="00625642" w14:paraId="371268DE" w14:textId="77777777" w:rsidTr="00625642">
        <w:trPr>
          <w:trHeight w:val="283"/>
        </w:trPr>
        <w:tc>
          <w:tcPr>
            <w:tcW w:w="1250" w:type="pct"/>
            <w:tcBorders>
              <w:top w:val="nil"/>
              <w:bottom w:val="single" w:sz="4" w:space="0" w:color="231F20"/>
            </w:tcBorders>
          </w:tcPr>
          <w:p w14:paraId="02CA9B9E"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bottom w:val="single" w:sz="4" w:space="0" w:color="231F20"/>
            </w:tcBorders>
            <w:shd w:val="clear" w:color="auto" w:fill="F2F2F2" w:themeFill="background2"/>
            <w:noWrap/>
          </w:tcPr>
          <w:p w14:paraId="31C0A6E2" w14:textId="77777777" w:rsidR="00625642" w:rsidRPr="00625642" w:rsidRDefault="00625642" w:rsidP="009C3DA8">
            <w:pPr>
              <w:pStyle w:val="TableText"/>
              <w:rPr>
                <w:noProof/>
                <w:lang w:eastAsia="en-US"/>
              </w:rPr>
            </w:pPr>
          </w:p>
        </w:tc>
        <w:tc>
          <w:tcPr>
            <w:tcW w:w="625" w:type="pct"/>
            <w:tcBorders>
              <w:top w:val="nil"/>
              <w:bottom w:val="single" w:sz="4" w:space="0" w:color="231F20"/>
            </w:tcBorders>
            <w:noWrap/>
          </w:tcPr>
          <w:p w14:paraId="46CF0591" w14:textId="77777777" w:rsidR="00625642" w:rsidRPr="00625642" w:rsidRDefault="00625642" w:rsidP="009C3DA8">
            <w:pPr>
              <w:pStyle w:val="TableText"/>
              <w:rPr>
                <w:i/>
                <w:noProof/>
                <w:lang w:eastAsia="en-US"/>
              </w:rPr>
            </w:pPr>
            <w:r w:rsidRPr="00625642">
              <w:rPr>
                <w:i/>
                <w:noProof/>
                <w:lang w:eastAsia="en-US"/>
              </w:rPr>
              <w:t>-9.3%</w:t>
            </w:r>
          </w:p>
        </w:tc>
        <w:tc>
          <w:tcPr>
            <w:tcW w:w="625" w:type="pct"/>
            <w:tcBorders>
              <w:top w:val="nil"/>
              <w:bottom w:val="single" w:sz="4" w:space="0" w:color="231F20"/>
            </w:tcBorders>
            <w:noWrap/>
          </w:tcPr>
          <w:p w14:paraId="0F1577E0" w14:textId="77777777" w:rsidR="00625642" w:rsidRPr="00625642" w:rsidRDefault="00625642" w:rsidP="009C3DA8">
            <w:pPr>
              <w:pStyle w:val="TableText"/>
              <w:rPr>
                <w:i/>
                <w:noProof/>
                <w:lang w:eastAsia="en-US"/>
              </w:rPr>
            </w:pPr>
            <w:r w:rsidRPr="00625642">
              <w:rPr>
                <w:i/>
                <w:noProof/>
                <w:lang w:eastAsia="en-US"/>
              </w:rPr>
              <w:t xml:space="preserve"> 1.1% </w:t>
            </w:r>
          </w:p>
        </w:tc>
        <w:tc>
          <w:tcPr>
            <w:tcW w:w="625" w:type="pct"/>
            <w:tcBorders>
              <w:top w:val="nil"/>
              <w:bottom w:val="single" w:sz="4" w:space="0" w:color="231F20"/>
            </w:tcBorders>
            <w:noWrap/>
          </w:tcPr>
          <w:p w14:paraId="45A48AF1" w14:textId="77777777" w:rsidR="00625642" w:rsidRPr="00625642" w:rsidRDefault="00625642" w:rsidP="009C3DA8">
            <w:pPr>
              <w:pStyle w:val="TableText"/>
              <w:rPr>
                <w:i/>
                <w:noProof/>
                <w:lang w:eastAsia="en-US"/>
              </w:rPr>
            </w:pPr>
            <w:r w:rsidRPr="00625642">
              <w:rPr>
                <w:i/>
                <w:noProof/>
                <w:lang w:eastAsia="en-US"/>
              </w:rPr>
              <w:t xml:space="preserve"> 2.5% </w:t>
            </w:r>
          </w:p>
        </w:tc>
        <w:tc>
          <w:tcPr>
            <w:tcW w:w="625" w:type="pct"/>
            <w:tcBorders>
              <w:top w:val="nil"/>
              <w:bottom w:val="single" w:sz="4" w:space="0" w:color="231F20"/>
            </w:tcBorders>
            <w:noWrap/>
          </w:tcPr>
          <w:p w14:paraId="54730CBA" w14:textId="77777777" w:rsidR="00625642" w:rsidRPr="00625642" w:rsidRDefault="00625642" w:rsidP="009C3DA8">
            <w:pPr>
              <w:pStyle w:val="TableText"/>
              <w:rPr>
                <w:i/>
                <w:noProof/>
                <w:lang w:eastAsia="en-US"/>
              </w:rPr>
            </w:pPr>
            <w:r w:rsidRPr="00625642">
              <w:rPr>
                <w:i/>
                <w:noProof/>
                <w:lang w:eastAsia="en-US"/>
              </w:rPr>
              <w:t xml:space="preserve"> 1.6% </w:t>
            </w:r>
          </w:p>
        </w:tc>
        <w:tc>
          <w:tcPr>
            <w:tcW w:w="625" w:type="pct"/>
            <w:tcBorders>
              <w:top w:val="nil"/>
              <w:bottom w:val="single" w:sz="4" w:space="0" w:color="231F20"/>
            </w:tcBorders>
            <w:noWrap/>
          </w:tcPr>
          <w:p w14:paraId="5CBC18DB" w14:textId="77777777" w:rsidR="00625642" w:rsidRPr="00625642" w:rsidRDefault="00625642" w:rsidP="009C3DA8">
            <w:pPr>
              <w:pStyle w:val="TableText"/>
              <w:rPr>
                <w:i/>
                <w:noProof/>
                <w:lang w:eastAsia="en-US"/>
              </w:rPr>
            </w:pPr>
            <w:r w:rsidRPr="00625642">
              <w:rPr>
                <w:i/>
                <w:noProof/>
                <w:lang w:eastAsia="en-US"/>
              </w:rPr>
              <w:t xml:space="preserve"> 1.3% </w:t>
            </w:r>
          </w:p>
        </w:tc>
      </w:tr>
      <w:tr w:rsidR="00625642" w:rsidRPr="00625642" w14:paraId="6F729E8E" w14:textId="77777777" w:rsidTr="00625642">
        <w:trPr>
          <w:trHeight w:val="283"/>
        </w:trPr>
        <w:tc>
          <w:tcPr>
            <w:tcW w:w="1250" w:type="pct"/>
            <w:tcBorders>
              <w:bottom w:val="nil"/>
            </w:tcBorders>
          </w:tcPr>
          <w:p w14:paraId="584DE849" w14:textId="77777777" w:rsidR="00625642" w:rsidRPr="00625642" w:rsidRDefault="00625642" w:rsidP="009C3DA8">
            <w:pPr>
              <w:pStyle w:val="TableText"/>
              <w:rPr>
                <w:noProof/>
                <w:lang w:eastAsia="en-US"/>
              </w:rPr>
            </w:pPr>
            <w:r w:rsidRPr="00625642">
              <w:rPr>
                <w:noProof/>
                <w:lang w:eastAsia="en-US"/>
              </w:rPr>
              <w:t>Gippsland Water</w:t>
            </w:r>
          </w:p>
        </w:tc>
        <w:tc>
          <w:tcPr>
            <w:tcW w:w="625" w:type="pct"/>
            <w:tcBorders>
              <w:bottom w:val="nil"/>
            </w:tcBorders>
            <w:shd w:val="clear" w:color="auto" w:fill="F2F2F2" w:themeFill="background2"/>
            <w:noWrap/>
          </w:tcPr>
          <w:p w14:paraId="3FD517FA" w14:textId="77777777" w:rsidR="00625642" w:rsidRPr="00625642" w:rsidRDefault="00625642" w:rsidP="009C3DA8">
            <w:pPr>
              <w:pStyle w:val="TableText"/>
              <w:rPr>
                <w:noProof/>
                <w:lang w:eastAsia="en-US"/>
              </w:rPr>
            </w:pPr>
            <w:r w:rsidRPr="00625642">
              <w:rPr>
                <w:noProof/>
                <w:lang w:eastAsia="en-US"/>
              </w:rPr>
              <w:t>$3.2</w:t>
            </w:r>
          </w:p>
        </w:tc>
        <w:tc>
          <w:tcPr>
            <w:tcW w:w="625" w:type="pct"/>
            <w:tcBorders>
              <w:bottom w:val="nil"/>
            </w:tcBorders>
            <w:noWrap/>
          </w:tcPr>
          <w:p w14:paraId="6D05BB64" w14:textId="77777777" w:rsidR="00625642" w:rsidRPr="00625642" w:rsidRDefault="00625642" w:rsidP="009C3DA8">
            <w:pPr>
              <w:pStyle w:val="TableText"/>
              <w:rPr>
                <w:noProof/>
                <w:lang w:eastAsia="en-US"/>
              </w:rPr>
            </w:pPr>
            <w:r w:rsidRPr="00625642">
              <w:rPr>
                <w:noProof/>
                <w:lang w:eastAsia="en-US"/>
              </w:rPr>
              <w:t>$2.5</w:t>
            </w:r>
          </w:p>
        </w:tc>
        <w:tc>
          <w:tcPr>
            <w:tcW w:w="625" w:type="pct"/>
            <w:tcBorders>
              <w:bottom w:val="nil"/>
            </w:tcBorders>
            <w:noWrap/>
          </w:tcPr>
          <w:p w14:paraId="0FF2E8E9" w14:textId="77777777" w:rsidR="00625642" w:rsidRPr="00625642" w:rsidRDefault="00625642" w:rsidP="009C3DA8">
            <w:pPr>
              <w:pStyle w:val="TableText"/>
              <w:rPr>
                <w:noProof/>
                <w:lang w:eastAsia="en-US"/>
              </w:rPr>
            </w:pPr>
            <w:r w:rsidRPr="00625642">
              <w:rPr>
                <w:noProof/>
                <w:lang w:eastAsia="en-US"/>
              </w:rPr>
              <w:t>$2.5</w:t>
            </w:r>
          </w:p>
        </w:tc>
        <w:tc>
          <w:tcPr>
            <w:tcW w:w="625" w:type="pct"/>
            <w:tcBorders>
              <w:bottom w:val="nil"/>
            </w:tcBorders>
            <w:noWrap/>
          </w:tcPr>
          <w:p w14:paraId="74DDF69A" w14:textId="77777777" w:rsidR="00625642" w:rsidRPr="00625642" w:rsidRDefault="00625642" w:rsidP="009C3DA8">
            <w:pPr>
              <w:pStyle w:val="TableText"/>
              <w:rPr>
                <w:noProof/>
                <w:lang w:eastAsia="en-US"/>
              </w:rPr>
            </w:pPr>
            <w:r w:rsidRPr="00625642">
              <w:rPr>
                <w:noProof/>
                <w:lang w:eastAsia="en-US"/>
              </w:rPr>
              <w:t>$2.6</w:t>
            </w:r>
          </w:p>
        </w:tc>
        <w:tc>
          <w:tcPr>
            <w:tcW w:w="625" w:type="pct"/>
            <w:tcBorders>
              <w:bottom w:val="nil"/>
            </w:tcBorders>
            <w:noWrap/>
          </w:tcPr>
          <w:p w14:paraId="024A687C" w14:textId="77777777" w:rsidR="00625642" w:rsidRPr="00625642" w:rsidRDefault="00625642" w:rsidP="009C3DA8">
            <w:pPr>
              <w:pStyle w:val="TableText"/>
              <w:rPr>
                <w:noProof/>
                <w:lang w:eastAsia="en-US"/>
              </w:rPr>
            </w:pPr>
            <w:r w:rsidRPr="00625642">
              <w:rPr>
                <w:noProof/>
                <w:lang w:eastAsia="en-US"/>
              </w:rPr>
              <w:t>$2.7</w:t>
            </w:r>
          </w:p>
        </w:tc>
        <w:tc>
          <w:tcPr>
            <w:tcW w:w="625" w:type="pct"/>
            <w:tcBorders>
              <w:bottom w:val="nil"/>
            </w:tcBorders>
            <w:noWrap/>
          </w:tcPr>
          <w:p w14:paraId="7B971E4E" w14:textId="77777777" w:rsidR="00625642" w:rsidRPr="00625642" w:rsidRDefault="00625642" w:rsidP="009C3DA8">
            <w:pPr>
              <w:pStyle w:val="TableText"/>
              <w:rPr>
                <w:noProof/>
                <w:lang w:eastAsia="en-US"/>
              </w:rPr>
            </w:pPr>
            <w:r w:rsidRPr="00625642">
              <w:rPr>
                <w:noProof/>
                <w:lang w:eastAsia="en-US"/>
              </w:rPr>
              <w:t>$2.7</w:t>
            </w:r>
          </w:p>
        </w:tc>
      </w:tr>
      <w:tr w:rsidR="00625642" w:rsidRPr="00625642" w14:paraId="38DEBA0D" w14:textId="77777777" w:rsidTr="00625642">
        <w:trPr>
          <w:trHeight w:val="283"/>
        </w:trPr>
        <w:tc>
          <w:tcPr>
            <w:tcW w:w="1250" w:type="pct"/>
            <w:tcBorders>
              <w:top w:val="nil"/>
            </w:tcBorders>
          </w:tcPr>
          <w:p w14:paraId="1B39A70C" w14:textId="77777777" w:rsidR="00625642" w:rsidRPr="00625642" w:rsidRDefault="00625642" w:rsidP="009C3DA8">
            <w:pPr>
              <w:pStyle w:val="TableText"/>
              <w:rPr>
                <w:noProof/>
                <w:lang w:eastAsia="en-US"/>
              </w:rPr>
            </w:pPr>
            <w:r w:rsidRPr="00625642">
              <w:rPr>
                <w:i/>
                <w:noProof/>
                <w:lang w:eastAsia="en-US"/>
              </w:rPr>
              <w:t>Yearly change</w:t>
            </w:r>
          </w:p>
        </w:tc>
        <w:tc>
          <w:tcPr>
            <w:tcW w:w="625" w:type="pct"/>
            <w:tcBorders>
              <w:top w:val="nil"/>
            </w:tcBorders>
            <w:shd w:val="clear" w:color="auto" w:fill="F2F2F2" w:themeFill="background2"/>
            <w:noWrap/>
          </w:tcPr>
          <w:p w14:paraId="0DCA3BC6" w14:textId="77777777" w:rsidR="00625642" w:rsidRPr="00625642" w:rsidRDefault="00625642" w:rsidP="009C3DA8">
            <w:pPr>
              <w:pStyle w:val="TableText"/>
              <w:rPr>
                <w:noProof/>
                <w:lang w:eastAsia="en-US"/>
              </w:rPr>
            </w:pPr>
          </w:p>
        </w:tc>
        <w:tc>
          <w:tcPr>
            <w:tcW w:w="625" w:type="pct"/>
            <w:tcBorders>
              <w:top w:val="nil"/>
            </w:tcBorders>
            <w:noWrap/>
          </w:tcPr>
          <w:p w14:paraId="2263C830" w14:textId="77777777" w:rsidR="00625642" w:rsidRPr="00625642" w:rsidRDefault="00625642" w:rsidP="009C3DA8">
            <w:pPr>
              <w:pStyle w:val="TableText"/>
              <w:rPr>
                <w:i/>
                <w:noProof/>
                <w:lang w:eastAsia="en-US"/>
              </w:rPr>
            </w:pPr>
            <w:r w:rsidRPr="00625642">
              <w:rPr>
                <w:i/>
                <w:noProof/>
                <w:lang w:eastAsia="en-US"/>
              </w:rPr>
              <w:t>-22.6%</w:t>
            </w:r>
          </w:p>
        </w:tc>
        <w:tc>
          <w:tcPr>
            <w:tcW w:w="625" w:type="pct"/>
            <w:tcBorders>
              <w:top w:val="nil"/>
            </w:tcBorders>
            <w:noWrap/>
          </w:tcPr>
          <w:p w14:paraId="6903A82F" w14:textId="77777777" w:rsidR="00625642" w:rsidRPr="00625642" w:rsidRDefault="00625642" w:rsidP="009C3DA8">
            <w:pPr>
              <w:pStyle w:val="TableText"/>
              <w:rPr>
                <w:i/>
                <w:noProof/>
                <w:lang w:eastAsia="en-US"/>
              </w:rPr>
            </w:pPr>
            <w:r w:rsidRPr="00625642">
              <w:rPr>
                <w:i/>
                <w:noProof/>
                <w:lang w:eastAsia="en-US"/>
              </w:rPr>
              <w:t xml:space="preserve"> 1.6% </w:t>
            </w:r>
          </w:p>
        </w:tc>
        <w:tc>
          <w:tcPr>
            <w:tcW w:w="625" w:type="pct"/>
            <w:tcBorders>
              <w:top w:val="nil"/>
            </w:tcBorders>
            <w:noWrap/>
          </w:tcPr>
          <w:p w14:paraId="4C580F9B" w14:textId="77777777" w:rsidR="00625642" w:rsidRPr="00625642" w:rsidRDefault="00625642" w:rsidP="009C3DA8">
            <w:pPr>
              <w:pStyle w:val="TableText"/>
              <w:rPr>
                <w:i/>
                <w:noProof/>
                <w:lang w:eastAsia="en-US"/>
              </w:rPr>
            </w:pPr>
            <w:r w:rsidRPr="00625642">
              <w:rPr>
                <w:i/>
                <w:noProof/>
                <w:lang w:eastAsia="en-US"/>
              </w:rPr>
              <w:t xml:space="preserve"> 2.9% </w:t>
            </w:r>
          </w:p>
        </w:tc>
        <w:tc>
          <w:tcPr>
            <w:tcW w:w="625" w:type="pct"/>
            <w:tcBorders>
              <w:top w:val="nil"/>
            </w:tcBorders>
            <w:noWrap/>
          </w:tcPr>
          <w:p w14:paraId="695B82CD" w14:textId="77777777" w:rsidR="00625642" w:rsidRPr="00625642" w:rsidRDefault="00625642" w:rsidP="009C3DA8">
            <w:pPr>
              <w:pStyle w:val="TableText"/>
              <w:rPr>
                <w:i/>
                <w:noProof/>
                <w:lang w:eastAsia="en-US"/>
              </w:rPr>
            </w:pPr>
            <w:r w:rsidRPr="00625642">
              <w:rPr>
                <w:i/>
                <w:noProof/>
                <w:lang w:eastAsia="en-US"/>
              </w:rPr>
              <w:t xml:space="preserve"> 2.1% </w:t>
            </w:r>
          </w:p>
        </w:tc>
        <w:tc>
          <w:tcPr>
            <w:tcW w:w="625" w:type="pct"/>
            <w:tcBorders>
              <w:top w:val="nil"/>
            </w:tcBorders>
            <w:noWrap/>
          </w:tcPr>
          <w:p w14:paraId="76B5D5F9" w14:textId="77777777" w:rsidR="00625642" w:rsidRPr="00625642" w:rsidRDefault="00625642" w:rsidP="009C3DA8">
            <w:pPr>
              <w:pStyle w:val="TableText"/>
              <w:rPr>
                <w:i/>
                <w:noProof/>
                <w:lang w:eastAsia="en-US"/>
              </w:rPr>
            </w:pPr>
            <w:r w:rsidRPr="00625642">
              <w:rPr>
                <w:i/>
                <w:noProof/>
                <w:lang w:eastAsia="en-US"/>
              </w:rPr>
              <w:t xml:space="preserve"> 1.8% </w:t>
            </w:r>
          </w:p>
        </w:tc>
      </w:tr>
    </w:tbl>
    <w:p w14:paraId="7EC00330" w14:textId="2DEE9525" w:rsidR="00625642" w:rsidRPr="00625642" w:rsidRDefault="00625642" w:rsidP="003875CB">
      <w:pPr>
        <w:pStyle w:val="Heading3"/>
      </w:pPr>
      <w:r w:rsidRPr="00625642">
        <w:t>Waterways and drainage prices</w:t>
      </w:r>
    </w:p>
    <w:p w14:paraId="27473C81" w14:textId="77777777" w:rsidR="00625642" w:rsidRPr="00625642" w:rsidRDefault="00625642" w:rsidP="00625642">
      <w:pPr>
        <w:pStyle w:val="BodyText"/>
        <w:rPr>
          <w:lang w:eastAsia="en-US"/>
        </w:rPr>
      </w:pPr>
      <w:r w:rsidRPr="00625642">
        <w:rPr>
          <w:lang w:eastAsia="en-US"/>
        </w:rPr>
        <w:t xml:space="preserve">The Waterways and Drainage Charge is collected from properties within our waterway management district, which includes Greater Melbourne and the surrounding areas. Prices depend on your property type: </w:t>
      </w:r>
    </w:p>
    <w:p w14:paraId="72E8E246" w14:textId="77777777" w:rsidR="00625642" w:rsidRPr="00625642" w:rsidRDefault="00625642" w:rsidP="00625642">
      <w:pPr>
        <w:pStyle w:val="ListBullet"/>
        <w:rPr>
          <w:noProof/>
          <w:lang w:eastAsia="en-US"/>
        </w:rPr>
      </w:pPr>
      <w:r w:rsidRPr="00625642">
        <w:rPr>
          <w:noProof/>
          <w:lang w:eastAsia="en-US"/>
        </w:rPr>
        <w:t>residential properties within the urban growth boundary are charged a fixed fee, and are benefitted by most of our major drainage infrastructure</w:t>
      </w:r>
    </w:p>
    <w:p w14:paraId="6B3D8738" w14:textId="77777777" w:rsidR="00625642" w:rsidRPr="00625642" w:rsidRDefault="00625642" w:rsidP="00625642">
      <w:pPr>
        <w:pStyle w:val="ListBullet"/>
        <w:rPr>
          <w:noProof/>
          <w:lang w:eastAsia="en-US"/>
        </w:rPr>
      </w:pPr>
      <w:r w:rsidRPr="00625642">
        <w:rPr>
          <w:noProof/>
          <w:lang w:eastAsia="en-US"/>
        </w:rPr>
        <w:t>non-residential properties within the urban growth boundary – like warehouses, factories, shops, offices, hotels and airports – pay a charge based on the net annual value of their property ($NAV), subject to a minimum fee</w:t>
      </w:r>
    </w:p>
    <w:p w14:paraId="32796FD9" w14:textId="77777777" w:rsidR="00625642" w:rsidRPr="00625642" w:rsidRDefault="00625642" w:rsidP="00625642">
      <w:pPr>
        <w:pStyle w:val="ListBullet"/>
        <w:rPr>
          <w:noProof/>
          <w:lang w:eastAsia="en-US"/>
        </w:rPr>
      </w:pPr>
      <w:r w:rsidRPr="00625642">
        <w:rPr>
          <w:noProof/>
          <w:lang w:eastAsia="en-US"/>
        </w:rPr>
        <w:t>rural properties within our waterway management district but outside the urban growth boundary are charged a fixed fee, and benefit from our waterway services and some aspects of flood protection.</w:t>
      </w:r>
    </w:p>
    <w:p w14:paraId="77C49F16" w14:textId="44AA6658" w:rsidR="00625642" w:rsidRPr="00625642" w:rsidRDefault="00625642" w:rsidP="00625642">
      <w:pPr>
        <w:pStyle w:val="BodyText"/>
        <w:rPr>
          <w:lang w:eastAsia="en-US"/>
        </w:rPr>
      </w:pPr>
      <w:r>
        <w:rPr>
          <w:lang w:eastAsia="en-US"/>
        </w:rPr>
        <w:t>Table 3</w:t>
      </w:r>
      <w:r>
        <w:rPr>
          <w:b/>
          <w:lang w:eastAsia="en-US"/>
        </w:rPr>
        <w:t xml:space="preserve"> </w:t>
      </w:r>
      <w:r w:rsidRPr="00625642">
        <w:rPr>
          <w:lang w:eastAsia="en-US"/>
        </w:rPr>
        <w:t>shows our annual proposed prices. In light of the immediate affordability challenges posed by COVID-19, we have spread our proposed price increase across the five-year submission period to smooth the impact. This results in a gradual increase of 1 per cent each year, rather than a larger one-off increase of 5 per cent in the first year of our submission.</w:t>
      </w:r>
    </w:p>
    <w:p w14:paraId="0E9F6083" w14:textId="644BCFB3" w:rsidR="007F3C2C" w:rsidRDefault="007F3C2C" w:rsidP="007F3C2C">
      <w:pPr>
        <w:pStyle w:val="Caption"/>
      </w:pPr>
      <w:r>
        <w:t xml:space="preserve">Table </w:t>
      </w:r>
      <w:r>
        <w:fldChar w:fldCharType="begin"/>
      </w:r>
      <w:r>
        <w:instrText xml:space="preserve"> SEQ Table \* ARABIC </w:instrText>
      </w:r>
      <w:r>
        <w:fldChar w:fldCharType="separate"/>
      </w:r>
      <w:r>
        <w:rPr>
          <w:noProof/>
        </w:rPr>
        <w:t>3</w:t>
      </w:r>
      <w:r>
        <w:fldChar w:fldCharType="end"/>
      </w:r>
      <w:r>
        <w:t>: Waterways and Drainage Charge - impact on customers</w:t>
      </w:r>
    </w:p>
    <w:tbl>
      <w:tblPr>
        <w:tblW w:w="0" w:type="auto"/>
        <w:tblLook w:val="06A0" w:firstRow="1" w:lastRow="0" w:firstColumn="1" w:lastColumn="0" w:noHBand="1" w:noVBand="1"/>
      </w:tblPr>
      <w:tblGrid>
        <w:gridCol w:w="3114"/>
        <w:gridCol w:w="1085"/>
        <w:gridCol w:w="1086"/>
        <w:gridCol w:w="1086"/>
        <w:gridCol w:w="1085"/>
        <w:gridCol w:w="1086"/>
        <w:gridCol w:w="1086"/>
      </w:tblGrid>
      <w:tr w:rsidR="00625642" w:rsidRPr="00625642" w14:paraId="2B9E840C" w14:textId="77777777" w:rsidTr="003527E5">
        <w:trPr>
          <w:tblHeader/>
        </w:trPr>
        <w:tc>
          <w:tcPr>
            <w:tcW w:w="3114" w:type="dxa"/>
          </w:tcPr>
          <w:p w14:paraId="4D18053B" w14:textId="77777777" w:rsidR="00625642" w:rsidRPr="003875CB" w:rsidRDefault="00625642" w:rsidP="009C3DA8">
            <w:pPr>
              <w:pStyle w:val="TableText"/>
              <w:rPr>
                <w:rStyle w:val="Bold"/>
                <w:lang w:eastAsia="en-US"/>
              </w:rPr>
            </w:pPr>
            <w:r w:rsidRPr="003875CB">
              <w:rPr>
                <w:rStyle w:val="Bold"/>
                <w:lang w:eastAsia="en-US"/>
              </w:rPr>
              <w:t>Property type</w:t>
            </w:r>
          </w:p>
        </w:tc>
        <w:tc>
          <w:tcPr>
            <w:tcW w:w="1085" w:type="dxa"/>
            <w:shd w:val="clear" w:color="auto" w:fill="ACB9CA" w:themeFill="text2" w:themeFillTint="66"/>
          </w:tcPr>
          <w:p w14:paraId="2D8D7430" w14:textId="77777777" w:rsidR="00625642" w:rsidRPr="003875CB" w:rsidRDefault="00625642" w:rsidP="009C3DA8">
            <w:pPr>
              <w:pStyle w:val="TableText"/>
              <w:rPr>
                <w:rStyle w:val="Bold"/>
                <w:lang w:eastAsia="en-US"/>
              </w:rPr>
            </w:pPr>
            <w:r w:rsidRPr="003875CB">
              <w:rPr>
                <w:rStyle w:val="Bold"/>
                <w:lang w:eastAsia="en-US"/>
              </w:rPr>
              <w:t>2020-21</w:t>
            </w:r>
          </w:p>
        </w:tc>
        <w:tc>
          <w:tcPr>
            <w:tcW w:w="1086" w:type="dxa"/>
          </w:tcPr>
          <w:p w14:paraId="26AF216B" w14:textId="77777777" w:rsidR="00625642" w:rsidRPr="003875CB" w:rsidRDefault="00625642" w:rsidP="009C3DA8">
            <w:pPr>
              <w:pStyle w:val="TableText"/>
              <w:rPr>
                <w:rStyle w:val="Bold"/>
                <w:lang w:eastAsia="en-US"/>
              </w:rPr>
            </w:pPr>
            <w:r w:rsidRPr="003875CB">
              <w:rPr>
                <w:rStyle w:val="Bold"/>
                <w:lang w:eastAsia="en-US"/>
              </w:rPr>
              <w:t>2021-22</w:t>
            </w:r>
          </w:p>
        </w:tc>
        <w:tc>
          <w:tcPr>
            <w:tcW w:w="1086" w:type="dxa"/>
          </w:tcPr>
          <w:p w14:paraId="27A1C064" w14:textId="77777777" w:rsidR="00625642" w:rsidRPr="003875CB" w:rsidRDefault="00625642" w:rsidP="009C3DA8">
            <w:pPr>
              <w:pStyle w:val="TableText"/>
              <w:rPr>
                <w:rStyle w:val="Bold"/>
                <w:lang w:eastAsia="en-US"/>
              </w:rPr>
            </w:pPr>
            <w:r w:rsidRPr="003875CB">
              <w:rPr>
                <w:rStyle w:val="Bold"/>
                <w:lang w:eastAsia="en-US"/>
              </w:rPr>
              <w:t>2022-23</w:t>
            </w:r>
          </w:p>
        </w:tc>
        <w:tc>
          <w:tcPr>
            <w:tcW w:w="1085" w:type="dxa"/>
          </w:tcPr>
          <w:p w14:paraId="035E90DA" w14:textId="77777777" w:rsidR="00625642" w:rsidRPr="003875CB" w:rsidRDefault="00625642" w:rsidP="009C3DA8">
            <w:pPr>
              <w:pStyle w:val="TableText"/>
              <w:rPr>
                <w:rStyle w:val="Bold"/>
                <w:lang w:eastAsia="en-US"/>
              </w:rPr>
            </w:pPr>
            <w:r w:rsidRPr="003875CB">
              <w:rPr>
                <w:rStyle w:val="Bold"/>
                <w:lang w:eastAsia="en-US"/>
              </w:rPr>
              <w:t>2023-24</w:t>
            </w:r>
          </w:p>
        </w:tc>
        <w:tc>
          <w:tcPr>
            <w:tcW w:w="1086" w:type="dxa"/>
          </w:tcPr>
          <w:p w14:paraId="5DE7AA79" w14:textId="77777777" w:rsidR="00625642" w:rsidRPr="003875CB" w:rsidRDefault="00625642" w:rsidP="009C3DA8">
            <w:pPr>
              <w:pStyle w:val="TableText"/>
              <w:rPr>
                <w:rStyle w:val="Bold"/>
                <w:lang w:eastAsia="en-US"/>
              </w:rPr>
            </w:pPr>
            <w:r w:rsidRPr="003875CB">
              <w:rPr>
                <w:rStyle w:val="Bold"/>
                <w:lang w:eastAsia="en-US"/>
              </w:rPr>
              <w:t>2024-25</w:t>
            </w:r>
          </w:p>
        </w:tc>
        <w:tc>
          <w:tcPr>
            <w:tcW w:w="1086" w:type="dxa"/>
          </w:tcPr>
          <w:p w14:paraId="1B83D567" w14:textId="77777777" w:rsidR="00625642" w:rsidRPr="003875CB" w:rsidRDefault="00625642" w:rsidP="009C3DA8">
            <w:pPr>
              <w:pStyle w:val="TableText"/>
              <w:rPr>
                <w:rStyle w:val="Bold"/>
                <w:lang w:eastAsia="en-US"/>
              </w:rPr>
            </w:pPr>
            <w:r w:rsidRPr="003875CB">
              <w:rPr>
                <w:rStyle w:val="Bold"/>
                <w:lang w:eastAsia="en-US"/>
              </w:rPr>
              <w:t>2025-26</w:t>
            </w:r>
          </w:p>
        </w:tc>
      </w:tr>
      <w:tr w:rsidR="00625642" w:rsidRPr="00625642" w14:paraId="1FA3E81D" w14:textId="77777777" w:rsidTr="00D115AF">
        <w:tc>
          <w:tcPr>
            <w:tcW w:w="3114" w:type="dxa"/>
          </w:tcPr>
          <w:p w14:paraId="7B3C799A" w14:textId="77777777" w:rsidR="00625642" w:rsidRPr="00625642" w:rsidRDefault="00625642" w:rsidP="009C3DA8">
            <w:pPr>
              <w:pStyle w:val="TableText"/>
              <w:rPr>
                <w:noProof/>
                <w:lang w:eastAsia="en-US"/>
              </w:rPr>
            </w:pPr>
            <w:r w:rsidRPr="00625642">
              <w:rPr>
                <w:noProof/>
                <w:lang w:eastAsia="en-US"/>
              </w:rPr>
              <w:t>Residential</w:t>
            </w:r>
          </w:p>
        </w:tc>
        <w:tc>
          <w:tcPr>
            <w:tcW w:w="1085" w:type="dxa"/>
            <w:shd w:val="clear" w:color="auto" w:fill="F2F2F2" w:themeFill="background2"/>
          </w:tcPr>
          <w:p w14:paraId="5A120074" w14:textId="77777777" w:rsidR="00625642" w:rsidRPr="00625642" w:rsidRDefault="00625642" w:rsidP="009C3DA8">
            <w:pPr>
              <w:pStyle w:val="TableText"/>
              <w:rPr>
                <w:noProof/>
                <w:lang w:eastAsia="en-US"/>
              </w:rPr>
            </w:pPr>
            <w:r w:rsidRPr="00625642">
              <w:rPr>
                <w:noProof/>
                <w:lang w:eastAsia="en-US"/>
              </w:rPr>
              <w:t>104.32</w:t>
            </w:r>
          </w:p>
        </w:tc>
        <w:tc>
          <w:tcPr>
            <w:tcW w:w="1086" w:type="dxa"/>
          </w:tcPr>
          <w:p w14:paraId="7FA8578D" w14:textId="77777777" w:rsidR="00625642" w:rsidRPr="00625642" w:rsidRDefault="00625642" w:rsidP="009C3DA8">
            <w:pPr>
              <w:pStyle w:val="TableText"/>
              <w:rPr>
                <w:noProof/>
                <w:lang w:eastAsia="en-US"/>
              </w:rPr>
            </w:pPr>
            <w:r w:rsidRPr="00625642">
              <w:rPr>
                <w:noProof/>
                <w:lang w:eastAsia="en-US"/>
              </w:rPr>
              <w:t xml:space="preserve">105.36 </w:t>
            </w:r>
          </w:p>
        </w:tc>
        <w:tc>
          <w:tcPr>
            <w:tcW w:w="1086" w:type="dxa"/>
          </w:tcPr>
          <w:p w14:paraId="7833AE43" w14:textId="77777777" w:rsidR="00625642" w:rsidRPr="00625642" w:rsidRDefault="00625642" w:rsidP="009C3DA8">
            <w:pPr>
              <w:pStyle w:val="TableText"/>
              <w:rPr>
                <w:noProof/>
                <w:lang w:eastAsia="en-US"/>
              </w:rPr>
            </w:pPr>
            <w:r w:rsidRPr="00625642">
              <w:rPr>
                <w:noProof/>
                <w:lang w:eastAsia="en-US"/>
              </w:rPr>
              <w:t>106.42</w:t>
            </w:r>
          </w:p>
        </w:tc>
        <w:tc>
          <w:tcPr>
            <w:tcW w:w="1085" w:type="dxa"/>
          </w:tcPr>
          <w:p w14:paraId="71B12BDC" w14:textId="77777777" w:rsidR="00625642" w:rsidRPr="00625642" w:rsidRDefault="00625642" w:rsidP="009C3DA8">
            <w:pPr>
              <w:pStyle w:val="TableText"/>
              <w:rPr>
                <w:noProof/>
                <w:lang w:eastAsia="en-US"/>
              </w:rPr>
            </w:pPr>
            <w:r w:rsidRPr="00625642">
              <w:rPr>
                <w:noProof/>
                <w:lang w:eastAsia="en-US"/>
              </w:rPr>
              <w:t>107.48</w:t>
            </w:r>
          </w:p>
        </w:tc>
        <w:tc>
          <w:tcPr>
            <w:tcW w:w="1086" w:type="dxa"/>
          </w:tcPr>
          <w:p w14:paraId="34EC89F0" w14:textId="77777777" w:rsidR="00625642" w:rsidRPr="00625642" w:rsidRDefault="00625642" w:rsidP="009C3DA8">
            <w:pPr>
              <w:pStyle w:val="TableText"/>
              <w:rPr>
                <w:noProof/>
                <w:lang w:eastAsia="en-US"/>
              </w:rPr>
            </w:pPr>
            <w:r w:rsidRPr="00625642">
              <w:rPr>
                <w:noProof/>
                <w:lang w:eastAsia="en-US"/>
              </w:rPr>
              <w:t>108.56</w:t>
            </w:r>
          </w:p>
        </w:tc>
        <w:tc>
          <w:tcPr>
            <w:tcW w:w="1086" w:type="dxa"/>
          </w:tcPr>
          <w:p w14:paraId="71748F21" w14:textId="77777777" w:rsidR="00625642" w:rsidRPr="00625642" w:rsidRDefault="00625642" w:rsidP="009C3DA8">
            <w:pPr>
              <w:pStyle w:val="TableText"/>
              <w:rPr>
                <w:noProof/>
                <w:lang w:eastAsia="en-US"/>
              </w:rPr>
            </w:pPr>
            <w:r w:rsidRPr="00625642">
              <w:rPr>
                <w:noProof/>
                <w:lang w:eastAsia="en-US"/>
              </w:rPr>
              <w:t>109.64</w:t>
            </w:r>
          </w:p>
        </w:tc>
      </w:tr>
      <w:tr w:rsidR="00625642" w:rsidRPr="00625642" w14:paraId="1E3BF963" w14:textId="77777777" w:rsidTr="00D115AF">
        <w:tc>
          <w:tcPr>
            <w:tcW w:w="3114" w:type="dxa"/>
          </w:tcPr>
          <w:p w14:paraId="6E0C7594" w14:textId="77777777" w:rsidR="00625642" w:rsidRPr="00625642" w:rsidRDefault="00625642" w:rsidP="009C3DA8">
            <w:pPr>
              <w:pStyle w:val="TableText"/>
              <w:rPr>
                <w:noProof/>
                <w:lang w:eastAsia="en-US"/>
              </w:rPr>
            </w:pPr>
            <w:r w:rsidRPr="00625642">
              <w:rPr>
                <w:noProof/>
                <w:lang w:eastAsia="en-US"/>
              </w:rPr>
              <w:t>Non-residential minimum fee</w:t>
            </w:r>
          </w:p>
        </w:tc>
        <w:tc>
          <w:tcPr>
            <w:tcW w:w="1085" w:type="dxa"/>
            <w:shd w:val="clear" w:color="auto" w:fill="F2F2F2" w:themeFill="background2"/>
          </w:tcPr>
          <w:p w14:paraId="6F078ED2" w14:textId="77777777" w:rsidR="00625642" w:rsidRPr="00625642" w:rsidRDefault="00625642" w:rsidP="009C3DA8">
            <w:pPr>
              <w:pStyle w:val="TableText"/>
              <w:rPr>
                <w:noProof/>
                <w:lang w:eastAsia="en-US"/>
              </w:rPr>
            </w:pPr>
            <w:r w:rsidRPr="00625642">
              <w:rPr>
                <w:noProof/>
                <w:lang w:eastAsia="en-US"/>
              </w:rPr>
              <w:t>156.72</w:t>
            </w:r>
          </w:p>
        </w:tc>
        <w:tc>
          <w:tcPr>
            <w:tcW w:w="1086" w:type="dxa"/>
          </w:tcPr>
          <w:p w14:paraId="0FFF0966" w14:textId="77777777" w:rsidR="00625642" w:rsidRPr="00625642" w:rsidRDefault="00625642" w:rsidP="009C3DA8">
            <w:pPr>
              <w:pStyle w:val="TableText"/>
              <w:rPr>
                <w:noProof/>
                <w:lang w:eastAsia="en-US"/>
              </w:rPr>
            </w:pPr>
            <w:r w:rsidRPr="00625642">
              <w:rPr>
                <w:noProof/>
                <w:lang w:eastAsia="en-US"/>
              </w:rPr>
              <w:t>158.29</w:t>
            </w:r>
          </w:p>
        </w:tc>
        <w:tc>
          <w:tcPr>
            <w:tcW w:w="1086" w:type="dxa"/>
          </w:tcPr>
          <w:p w14:paraId="46185250" w14:textId="77777777" w:rsidR="00625642" w:rsidRPr="00625642" w:rsidRDefault="00625642" w:rsidP="009C3DA8">
            <w:pPr>
              <w:pStyle w:val="TableText"/>
              <w:rPr>
                <w:noProof/>
                <w:lang w:eastAsia="en-US"/>
              </w:rPr>
            </w:pPr>
            <w:r w:rsidRPr="00625642">
              <w:rPr>
                <w:noProof/>
                <w:lang w:eastAsia="en-US"/>
              </w:rPr>
              <w:t>159.87</w:t>
            </w:r>
          </w:p>
        </w:tc>
        <w:tc>
          <w:tcPr>
            <w:tcW w:w="1085" w:type="dxa"/>
          </w:tcPr>
          <w:p w14:paraId="2E1AB31C" w14:textId="77777777" w:rsidR="00625642" w:rsidRPr="00625642" w:rsidRDefault="00625642" w:rsidP="009C3DA8">
            <w:pPr>
              <w:pStyle w:val="TableText"/>
              <w:rPr>
                <w:noProof/>
                <w:lang w:eastAsia="en-US"/>
              </w:rPr>
            </w:pPr>
            <w:r w:rsidRPr="00625642">
              <w:rPr>
                <w:noProof/>
                <w:lang w:eastAsia="en-US"/>
              </w:rPr>
              <w:t>161.47</w:t>
            </w:r>
          </w:p>
        </w:tc>
        <w:tc>
          <w:tcPr>
            <w:tcW w:w="1086" w:type="dxa"/>
          </w:tcPr>
          <w:p w14:paraId="5156102A" w14:textId="77777777" w:rsidR="00625642" w:rsidRPr="00625642" w:rsidRDefault="00625642" w:rsidP="009C3DA8">
            <w:pPr>
              <w:pStyle w:val="TableText"/>
              <w:rPr>
                <w:noProof/>
                <w:lang w:eastAsia="en-US"/>
              </w:rPr>
            </w:pPr>
            <w:r w:rsidRPr="00625642">
              <w:rPr>
                <w:noProof/>
                <w:lang w:eastAsia="en-US"/>
              </w:rPr>
              <w:t>163.08</w:t>
            </w:r>
          </w:p>
        </w:tc>
        <w:tc>
          <w:tcPr>
            <w:tcW w:w="1086" w:type="dxa"/>
          </w:tcPr>
          <w:p w14:paraId="6DB6F0AC" w14:textId="77777777" w:rsidR="00625642" w:rsidRPr="00625642" w:rsidRDefault="00625642" w:rsidP="009C3DA8">
            <w:pPr>
              <w:pStyle w:val="TableText"/>
              <w:rPr>
                <w:noProof/>
                <w:lang w:eastAsia="en-US"/>
              </w:rPr>
            </w:pPr>
            <w:r w:rsidRPr="00625642">
              <w:rPr>
                <w:noProof/>
                <w:lang w:eastAsia="en-US"/>
              </w:rPr>
              <w:t>164.71</w:t>
            </w:r>
          </w:p>
        </w:tc>
      </w:tr>
      <w:tr w:rsidR="00625642" w:rsidRPr="00625642" w14:paraId="72DD6FFB" w14:textId="77777777" w:rsidTr="00D115AF">
        <w:tc>
          <w:tcPr>
            <w:tcW w:w="3114" w:type="dxa"/>
          </w:tcPr>
          <w:p w14:paraId="7DDB0B06" w14:textId="77777777" w:rsidR="00625642" w:rsidRPr="00625642" w:rsidRDefault="00625642" w:rsidP="009C3DA8">
            <w:pPr>
              <w:pStyle w:val="TableText"/>
              <w:rPr>
                <w:noProof/>
                <w:lang w:eastAsia="en-US"/>
              </w:rPr>
            </w:pPr>
            <w:r w:rsidRPr="00625642">
              <w:rPr>
                <w:noProof/>
                <w:lang w:eastAsia="en-US"/>
              </w:rPr>
              <w:t>Non-residential rate in $NAV</w:t>
            </w:r>
          </w:p>
          <w:p w14:paraId="5742F0FF" w14:textId="77777777" w:rsidR="00625642" w:rsidRPr="00625642" w:rsidRDefault="00625642" w:rsidP="009C3DA8">
            <w:pPr>
              <w:pStyle w:val="TableText"/>
              <w:rPr>
                <w:noProof/>
                <w:lang w:eastAsia="en-US"/>
              </w:rPr>
            </w:pPr>
            <w:r w:rsidRPr="00625642">
              <w:rPr>
                <w:noProof/>
                <w:lang w:eastAsia="en-US"/>
              </w:rPr>
              <w:t>(cents per annum)</w:t>
            </w:r>
          </w:p>
        </w:tc>
        <w:tc>
          <w:tcPr>
            <w:tcW w:w="1085" w:type="dxa"/>
            <w:shd w:val="clear" w:color="auto" w:fill="F2F2F2" w:themeFill="background2"/>
          </w:tcPr>
          <w:p w14:paraId="3E243E61" w14:textId="77777777" w:rsidR="00625642" w:rsidRPr="00625642" w:rsidRDefault="00625642" w:rsidP="009C3DA8">
            <w:pPr>
              <w:pStyle w:val="TableText"/>
              <w:rPr>
                <w:noProof/>
                <w:lang w:eastAsia="en-US"/>
              </w:rPr>
            </w:pPr>
            <w:r w:rsidRPr="00625642">
              <w:rPr>
                <w:noProof/>
                <w:lang w:eastAsia="en-US"/>
              </w:rPr>
              <w:t>0.4447</w:t>
            </w:r>
          </w:p>
        </w:tc>
        <w:tc>
          <w:tcPr>
            <w:tcW w:w="1086" w:type="dxa"/>
          </w:tcPr>
          <w:p w14:paraId="0F79DD9E" w14:textId="77777777" w:rsidR="00625642" w:rsidRPr="00625642" w:rsidRDefault="00625642" w:rsidP="009C3DA8">
            <w:pPr>
              <w:pStyle w:val="TableText"/>
              <w:rPr>
                <w:noProof/>
                <w:lang w:eastAsia="en-US"/>
              </w:rPr>
            </w:pPr>
            <w:r w:rsidRPr="00625642">
              <w:rPr>
                <w:noProof/>
                <w:lang w:eastAsia="en-US"/>
              </w:rPr>
              <w:t>0.4171</w:t>
            </w:r>
          </w:p>
        </w:tc>
        <w:tc>
          <w:tcPr>
            <w:tcW w:w="1086" w:type="dxa"/>
          </w:tcPr>
          <w:p w14:paraId="5137A9B9" w14:textId="77777777" w:rsidR="00625642" w:rsidRPr="00625642" w:rsidRDefault="00625642" w:rsidP="009C3DA8">
            <w:pPr>
              <w:pStyle w:val="TableText"/>
              <w:rPr>
                <w:noProof/>
                <w:lang w:eastAsia="en-US"/>
              </w:rPr>
            </w:pPr>
            <w:r w:rsidRPr="00625642">
              <w:rPr>
                <w:noProof/>
                <w:lang w:eastAsia="en-US"/>
              </w:rPr>
              <w:t>0.3704</w:t>
            </w:r>
          </w:p>
        </w:tc>
        <w:tc>
          <w:tcPr>
            <w:tcW w:w="1085" w:type="dxa"/>
          </w:tcPr>
          <w:p w14:paraId="5F77084E" w14:textId="77777777" w:rsidR="00625642" w:rsidRPr="00625642" w:rsidRDefault="00625642" w:rsidP="009C3DA8">
            <w:pPr>
              <w:pStyle w:val="TableText"/>
              <w:rPr>
                <w:noProof/>
                <w:lang w:eastAsia="en-US"/>
              </w:rPr>
            </w:pPr>
            <w:r w:rsidRPr="00625642">
              <w:rPr>
                <w:noProof/>
                <w:lang w:eastAsia="en-US"/>
              </w:rPr>
              <w:t>0.3104</w:t>
            </w:r>
          </w:p>
        </w:tc>
        <w:tc>
          <w:tcPr>
            <w:tcW w:w="1086" w:type="dxa"/>
          </w:tcPr>
          <w:p w14:paraId="748679F7" w14:textId="77777777" w:rsidR="00625642" w:rsidRPr="00625642" w:rsidRDefault="00625642" w:rsidP="009C3DA8">
            <w:pPr>
              <w:pStyle w:val="TableText"/>
              <w:rPr>
                <w:noProof/>
                <w:lang w:eastAsia="en-US"/>
              </w:rPr>
            </w:pPr>
            <w:r w:rsidRPr="00625642">
              <w:rPr>
                <w:noProof/>
                <w:lang w:eastAsia="en-US"/>
              </w:rPr>
              <w:t>0.2446</w:t>
            </w:r>
          </w:p>
        </w:tc>
        <w:tc>
          <w:tcPr>
            <w:tcW w:w="1086" w:type="dxa"/>
          </w:tcPr>
          <w:p w14:paraId="6601EC91" w14:textId="77777777" w:rsidR="00625642" w:rsidRPr="00625642" w:rsidRDefault="00625642" w:rsidP="009C3DA8">
            <w:pPr>
              <w:pStyle w:val="TableText"/>
              <w:rPr>
                <w:noProof/>
                <w:lang w:eastAsia="en-US"/>
              </w:rPr>
            </w:pPr>
            <w:r w:rsidRPr="00625642">
              <w:rPr>
                <w:noProof/>
                <w:lang w:eastAsia="en-US"/>
              </w:rPr>
              <w:t>0.1805</w:t>
            </w:r>
          </w:p>
        </w:tc>
      </w:tr>
      <w:tr w:rsidR="00625642" w:rsidRPr="00625642" w14:paraId="602E49C7" w14:textId="77777777" w:rsidTr="00D115AF">
        <w:tc>
          <w:tcPr>
            <w:tcW w:w="3114" w:type="dxa"/>
          </w:tcPr>
          <w:p w14:paraId="341DF34F" w14:textId="77777777" w:rsidR="00625642" w:rsidRPr="00625642" w:rsidRDefault="00625642" w:rsidP="009C3DA8">
            <w:pPr>
              <w:pStyle w:val="TableText"/>
              <w:rPr>
                <w:noProof/>
                <w:lang w:eastAsia="en-US"/>
              </w:rPr>
            </w:pPr>
            <w:r w:rsidRPr="00625642">
              <w:rPr>
                <w:noProof/>
                <w:lang w:eastAsia="en-US"/>
              </w:rPr>
              <w:t>Rural</w:t>
            </w:r>
          </w:p>
        </w:tc>
        <w:tc>
          <w:tcPr>
            <w:tcW w:w="1085" w:type="dxa"/>
            <w:shd w:val="clear" w:color="auto" w:fill="F2F2F2" w:themeFill="background2"/>
          </w:tcPr>
          <w:p w14:paraId="7C0BF2BD" w14:textId="77777777" w:rsidR="00625642" w:rsidRPr="00625642" w:rsidRDefault="00625642" w:rsidP="009C3DA8">
            <w:pPr>
              <w:pStyle w:val="TableText"/>
              <w:rPr>
                <w:noProof/>
                <w:lang w:eastAsia="en-US"/>
              </w:rPr>
            </w:pPr>
            <w:r w:rsidRPr="00625642">
              <w:rPr>
                <w:noProof/>
                <w:lang w:eastAsia="en-US"/>
              </w:rPr>
              <w:t>57.28</w:t>
            </w:r>
          </w:p>
        </w:tc>
        <w:tc>
          <w:tcPr>
            <w:tcW w:w="1086" w:type="dxa"/>
          </w:tcPr>
          <w:p w14:paraId="716C4314" w14:textId="77777777" w:rsidR="00625642" w:rsidRPr="00625642" w:rsidRDefault="00625642" w:rsidP="009C3DA8">
            <w:pPr>
              <w:pStyle w:val="TableText"/>
              <w:rPr>
                <w:noProof/>
                <w:lang w:eastAsia="en-US"/>
              </w:rPr>
            </w:pPr>
            <w:r w:rsidRPr="00625642">
              <w:rPr>
                <w:noProof/>
                <w:lang w:eastAsia="en-US"/>
              </w:rPr>
              <w:t>57.85</w:t>
            </w:r>
          </w:p>
        </w:tc>
        <w:tc>
          <w:tcPr>
            <w:tcW w:w="1086" w:type="dxa"/>
          </w:tcPr>
          <w:p w14:paraId="6156515F" w14:textId="77777777" w:rsidR="00625642" w:rsidRPr="00625642" w:rsidRDefault="00625642" w:rsidP="009C3DA8">
            <w:pPr>
              <w:pStyle w:val="TableText"/>
              <w:rPr>
                <w:noProof/>
                <w:lang w:eastAsia="en-US"/>
              </w:rPr>
            </w:pPr>
            <w:r w:rsidRPr="00625642">
              <w:rPr>
                <w:noProof/>
                <w:lang w:eastAsia="en-US"/>
              </w:rPr>
              <w:t>58.43</w:t>
            </w:r>
          </w:p>
        </w:tc>
        <w:tc>
          <w:tcPr>
            <w:tcW w:w="1085" w:type="dxa"/>
          </w:tcPr>
          <w:p w14:paraId="477C9422" w14:textId="77777777" w:rsidR="00625642" w:rsidRPr="00625642" w:rsidRDefault="00625642" w:rsidP="009C3DA8">
            <w:pPr>
              <w:pStyle w:val="TableText"/>
              <w:rPr>
                <w:noProof/>
                <w:lang w:eastAsia="en-US"/>
              </w:rPr>
            </w:pPr>
            <w:r w:rsidRPr="00625642">
              <w:rPr>
                <w:noProof/>
                <w:lang w:eastAsia="en-US"/>
              </w:rPr>
              <w:t>59.02</w:t>
            </w:r>
          </w:p>
        </w:tc>
        <w:tc>
          <w:tcPr>
            <w:tcW w:w="1086" w:type="dxa"/>
          </w:tcPr>
          <w:p w14:paraId="114BC867" w14:textId="77777777" w:rsidR="00625642" w:rsidRPr="00625642" w:rsidRDefault="00625642" w:rsidP="009C3DA8">
            <w:pPr>
              <w:pStyle w:val="TableText"/>
              <w:rPr>
                <w:noProof/>
                <w:lang w:eastAsia="en-US"/>
              </w:rPr>
            </w:pPr>
            <w:r w:rsidRPr="00625642">
              <w:rPr>
                <w:noProof/>
                <w:lang w:eastAsia="en-US"/>
              </w:rPr>
              <w:t>59.61</w:t>
            </w:r>
          </w:p>
        </w:tc>
        <w:tc>
          <w:tcPr>
            <w:tcW w:w="1086" w:type="dxa"/>
          </w:tcPr>
          <w:p w14:paraId="2353C80C" w14:textId="77777777" w:rsidR="00625642" w:rsidRPr="00625642" w:rsidRDefault="00625642" w:rsidP="009C3DA8">
            <w:pPr>
              <w:pStyle w:val="TableText"/>
              <w:rPr>
                <w:noProof/>
                <w:lang w:eastAsia="en-US"/>
              </w:rPr>
            </w:pPr>
            <w:r w:rsidRPr="00625642">
              <w:rPr>
                <w:noProof/>
                <w:lang w:eastAsia="en-US"/>
              </w:rPr>
              <w:t>60.20</w:t>
            </w:r>
          </w:p>
        </w:tc>
      </w:tr>
    </w:tbl>
    <w:p w14:paraId="6AD133D4" w14:textId="77777777" w:rsidR="00625642" w:rsidRPr="00625642" w:rsidRDefault="00625642" w:rsidP="00625642">
      <w:pPr>
        <w:pStyle w:val="BodyText"/>
        <w:rPr>
          <w:lang w:val="en-US" w:eastAsia="en-US"/>
        </w:rPr>
      </w:pPr>
      <w:r w:rsidRPr="00625642">
        <w:rPr>
          <w:lang w:eastAsia="en-US"/>
        </w:rPr>
        <w:lastRenderedPageBreak/>
        <w:t xml:space="preserve">Our proposed prices aim to </w:t>
      </w:r>
      <w:r w:rsidRPr="00625642">
        <w:rPr>
          <w:lang w:val="en-US" w:eastAsia="en-US"/>
        </w:rPr>
        <w:t>minimise our impact on customer bills over the submission period, while still delivering the high-quality services our customers have told us they value.</w:t>
      </w:r>
    </w:p>
    <w:p w14:paraId="76BE325D" w14:textId="77777777" w:rsidR="00625642" w:rsidRPr="00625642" w:rsidRDefault="00625642" w:rsidP="00625642">
      <w:pPr>
        <w:pStyle w:val="BodyText"/>
        <w:rPr>
          <w:lang w:eastAsia="en-US"/>
        </w:rPr>
      </w:pPr>
      <w:r w:rsidRPr="00625642">
        <w:rPr>
          <w:lang w:eastAsia="en-US"/>
        </w:rPr>
        <w:t>Throughout our engagement program the community consistently indicated their willingness to pay a little more for higher levels of service – particularly for our waterway and drainage management activities. At the same time, we acknowledge the ongoing financial challenge that COVID-19 presents for a growing number households and businesses.</w:t>
      </w:r>
    </w:p>
    <w:p w14:paraId="799F1EC8" w14:textId="77777777" w:rsidR="00625642" w:rsidRPr="00625642" w:rsidRDefault="00625642" w:rsidP="00625642">
      <w:pPr>
        <w:pStyle w:val="BodyText"/>
        <w:rPr>
          <w:lang w:eastAsia="en-US"/>
        </w:rPr>
      </w:pPr>
      <w:r w:rsidRPr="00625642">
        <w:rPr>
          <w:lang w:eastAsia="en-US"/>
        </w:rPr>
        <w:t>We are proactively managing uncertainties and leveraging our scale to deliver more services to more people without a corresponding increase in prices. This will see our water and sewerage charges for metropolitan customers decrease by an average of 1.5 per cent (plus CPI) each year across the five years of our submission.</w:t>
      </w:r>
    </w:p>
    <w:p w14:paraId="7664D0E3" w14:textId="24B86BF1" w:rsidR="00625642" w:rsidRPr="00625642" w:rsidRDefault="00625642" w:rsidP="00625642">
      <w:pPr>
        <w:pStyle w:val="BodyText"/>
        <w:rPr>
          <w:lang w:eastAsia="en-US"/>
        </w:rPr>
      </w:pPr>
      <w:r w:rsidRPr="00625642">
        <w:rPr>
          <w:lang w:eastAsia="en-US"/>
        </w:rPr>
        <w:t>When combining the water and sewerage price decrease with the slight increase in the waterways and drainage charge, our average impact on a typical customer bill will decrease by about $3.</w:t>
      </w:r>
    </w:p>
    <w:p w14:paraId="06D13458" w14:textId="6042A85B" w:rsidR="00917BD7" w:rsidRDefault="00931A31" w:rsidP="00AA1DA2">
      <w:pPr>
        <w:pStyle w:val="Heading1"/>
      </w:pPr>
      <w:bookmarkStart w:id="67" w:name="_Toc55905516"/>
      <w:r>
        <w:lastRenderedPageBreak/>
        <w:t>Reporting on</w:t>
      </w:r>
      <w:r w:rsidR="00917BD7">
        <w:t xml:space="preserve"> our performance</w:t>
      </w:r>
      <w:bookmarkEnd w:id="67"/>
    </w:p>
    <w:p w14:paraId="47105A97" w14:textId="77777777" w:rsidR="007B4A37" w:rsidRDefault="00931A31" w:rsidP="007B4A37">
      <w:pPr>
        <w:pStyle w:val="Heading2"/>
      </w:pPr>
      <w:bookmarkStart w:id="68" w:name="_Toc39007463"/>
      <w:bookmarkStart w:id="69" w:name="_Toc52456190"/>
      <w:bookmarkStart w:id="70" w:name="_Toc55905389"/>
      <w:bookmarkStart w:id="71" w:name="_Toc55905517"/>
      <w:r w:rsidRPr="00931A31">
        <w:t>You told us</w:t>
      </w:r>
      <w:bookmarkEnd w:id="68"/>
      <w:bookmarkEnd w:id="69"/>
      <w:bookmarkEnd w:id="70"/>
      <w:bookmarkEnd w:id="71"/>
    </w:p>
    <w:p w14:paraId="4397BF8B" w14:textId="63C2E677" w:rsidR="00931A31" w:rsidRPr="007B4A37" w:rsidRDefault="00931A31" w:rsidP="007B4A37">
      <w:pPr>
        <w:pStyle w:val="BodyText"/>
        <w:rPr>
          <w:b/>
          <w:bCs/>
        </w:rPr>
      </w:pPr>
      <w:r w:rsidRPr="00931A31">
        <w:t>Transparency and accountability are critical when it comes to delivering against the commitments in our submission.</w:t>
      </w:r>
    </w:p>
    <w:p w14:paraId="2F9C22F2" w14:textId="77777777" w:rsidR="00931A31" w:rsidRPr="00931A31" w:rsidRDefault="00931A31" w:rsidP="007B4A37">
      <w:pPr>
        <w:pStyle w:val="BodyText"/>
      </w:pPr>
      <w:r w:rsidRPr="00931A31">
        <w:t>Households and businesses were unified in their desire for us to take a customer-centric approach to managing and reporting our performance, and adapting to any changes in customer preferences throughout the submission period.</w:t>
      </w:r>
    </w:p>
    <w:p w14:paraId="13F56387" w14:textId="77777777" w:rsidR="00931A31" w:rsidRPr="00931A31" w:rsidRDefault="00931A31" w:rsidP="007B4A37">
      <w:pPr>
        <w:pStyle w:val="BodyText"/>
      </w:pPr>
      <w:r w:rsidRPr="00931A31">
        <w:t>Our retail water company customers also supported this approach, and challenged us to commit to greater levels of accountability and transparency through the introduction of guaranteed service levels and a comprehensive review of our fee structures.</w:t>
      </w:r>
    </w:p>
    <w:p w14:paraId="47F7DBB4" w14:textId="348CF707" w:rsidR="00931A31" w:rsidRPr="00931A31" w:rsidRDefault="00931A31" w:rsidP="007B4A37">
      <w:pPr>
        <w:pStyle w:val="PullBoxQuote"/>
      </w:pPr>
      <w:r w:rsidRPr="00931A31">
        <w:t>“It would be good for the public to be informed. The more eyes the better, for a crucial public entity like Melbourne Water.”</w:t>
      </w:r>
    </w:p>
    <w:p w14:paraId="6C776E05" w14:textId="77777777" w:rsidR="007B4A37" w:rsidRDefault="00931A31" w:rsidP="007B4A37">
      <w:pPr>
        <w:pStyle w:val="PullBoxQuote"/>
      </w:pPr>
      <w:r w:rsidRPr="00931A31">
        <w:t>“In my view performance should be communicated beyond the mandatory element, so that the community can understand the value Melbourne Water brings. The information should be out there in the open for everyone to access – that is being transparent.”</w:t>
      </w:r>
      <w:bookmarkStart w:id="72" w:name="_Toc52456191"/>
    </w:p>
    <w:p w14:paraId="451DC39F" w14:textId="46DECD51" w:rsidR="00931A31" w:rsidRPr="007B4A37" w:rsidRDefault="00931A31" w:rsidP="007F3C2C">
      <w:pPr>
        <w:pStyle w:val="Heading2"/>
      </w:pPr>
      <w:r w:rsidRPr="00931A31">
        <w:t>How we’ll demonstrate our commitment</w:t>
      </w:r>
      <w:bookmarkEnd w:id="72"/>
    </w:p>
    <w:p w14:paraId="3B8B91C4" w14:textId="77777777" w:rsidR="007B4A37" w:rsidRDefault="00931A31" w:rsidP="007B4A37">
      <w:pPr>
        <w:pStyle w:val="BodyText"/>
      </w:pPr>
      <w:r w:rsidRPr="00931A31">
        <w:t>Our Price Submission 2021 represents a step-change in the way we view our commitments. We are proposing the following initiatives in direct response to customer feedback.</w:t>
      </w:r>
    </w:p>
    <w:p w14:paraId="25E0FDF1" w14:textId="037F0911" w:rsidR="00931A31" w:rsidRPr="007B4A37" w:rsidRDefault="00931A31" w:rsidP="007F3C2C">
      <w:pPr>
        <w:pStyle w:val="Heading3"/>
      </w:pPr>
      <w:r w:rsidRPr="00931A31">
        <w:t>Outcomes performance reporting</w:t>
      </w:r>
    </w:p>
    <w:p w14:paraId="437AE064" w14:textId="77777777" w:rsidR="00931A31" w:rsidRPr="00931A31" w:rsidRDefault="00931A31" w:rsidP="007B4A37">
      <w:pPr>
        <w:pStyle w:val="BodyText"/>
      </w:pPr>
      <w:r w:rsidRPr="00931A31">
        <w:t>We’ll maintain an ongoing conversation with our customers by establishing a forum of representatives from our diverse customer groups – including households, businesses and retail water companies. Meeting at least once a year, the forum will enable us to:</w:t>
      </w:r>
    </w:p>
    <w:p w14:paraId="5BFF2E00" w14:textId="77777777" w:rsidR="00931A31" w:rsidRPr="00931A31" w:rsidRDefault="00931A31" w:rsidP="007B4A37">
      <w:pPr>
        <w:pStyle w:val="ListBullet"/>
      </w:pPr>
      <w:r w:rsidRPr="00931A31">
        <w:t>report our performance to our customers, in addition to publishing an annual performance report on our website and communicating via social media</w:t>
      </w:r>
    </w:p>
    <w:p w14:paraId="67948F63" w14:textId="77777777" w:rsidR="00931A31" w:rsidRPr="00931A31" w:rsidRDefault="00931A31" w:rsidP="007B4A37">
      <w:pPr>
        <w:pStyle w:val="ListBullet"/>
      </w:pPr>
      <w:r w:rsidRPr="00931A31">
        <w:t>engage customers in considering responses to under or over-performance against the customer outcomes in our submission</w:t>
      </w:r>
    </w:p>
    <w:p w14:paraId="494DBD8E" w14:textId="77777777" w:rsidR="00931A31" w:rsidRPr="00931A31" w:rsidRDefault="00931A31" w:rsidP="007B4A37">
      <w:pPr>
        <w:pStyle w:val="ListBullet"/>
      </w:pPr>
      <w:r w:rsidRPr="00931A31">
        <w:t>ensure our priorities continue to align with customer preferences, and help us identify the most appropriate strategies to respond to emerging or unexpected issues</w:t>
      </w:r>
    </w:p>
    <w:p w14:paraId="466DBC57" w14:textId="77777777" w:rsidR="00931A31" w:rsidRPr="00931A31" w:rsidRDefault="00931A31" w:rsidP="007B4A37">
      <w:pPr>
        <w:pStyle w:val="ListBullet"/>
      </w:pPr>
      <w:r w:rsidRPr="00931A31">
        <w:t>prepare for our next Price Submission in 2026 – meeting more regularly as we move closer to the planning stages.</w:t>
      </w:r>
    </w:p>
    <w:p w14:paraId="7ADF2194" w14:textId="77777777" w:rsidR="00931A31" w:rsidRPr="00931A31" w:rsidRDefault="00931A31" w:rsidP="007F3C2C">
      <w:pPr>
        <w:pStyle w:val="Heading3"/>
      </w:pPr>
      <w:r w:rsidRPr="00931A31">
        <w:t>Guaranteed service levels</w:t>
      </w:r>
    </w:p>
    <w:p w14:paraId="5D183202" w14:textId="77777777" w:rsidR="00931A31" w:rsidRPr="00931A31" w:rsidRDefault="00931A31" w:rsidP="00CC7887">
      <w:pPr>
        <w:pStyle w:val="BodyText"/>
      </w:pPr>
      <w:r w:rsidRPr="00931A31">
        <w:t>We’ll introduce new guaranteed service levels for wholesale water and sewerage, demonstrating the sincerity of our commitment to customers. This will see us return money to households, businesses and water companies if we fail to live up to the service standards set out in our submission.</w:t>
      </w:r>
    </w:p>
    <w:p w14:paraId="044371B0" w14:textId="77777777" w:rsidR="00931A31" w:rsidRPr="00931A31" w:rsidRDefault="00931A31" w:rsidP="00CC7887">
      <w:pPr>
        <w:pStyle w:val="BodyText"/>
      </w:pPr>
      <w:r w:rsidRPr="00931A31">
        <w:t>We are working collaboratively with the retail water companies to define appropriate service levels, having developing a concept and prototype process in August 2020. The emerging concept includes metrics that are:</w:t>
      </w:r>
    </w:p>
    <w:p w14:paraId="2A6D2330" w14:textId="77777777" w:rsidR="00931A31" w:rsidRPr="00931A31" w:rsidRDefault="00931A31" w:rsidP="00CC7887">
      <w:pPr>
        <w:pStyle w:val="ListBullet"/>
      </w:pPr>
      <w:r w:rsidRPr="00931A31">
        <w:t>clearly linked to our services and their impact on households and businesses</w:t>
      </w:r>
    </w:p>
    <w:p w14:paraId="37EBAF65" w14:textId="77777777" w:rsidR="00931A31" w:rsidRPr="00931A31" w:rsidRDefault="00931A31" w:rsidP="00CC7887">
      <w:pPr>
        <w:pStyle w:val="ListBullet"/>
      </w:pPr>
      <w:r w:rsidRPr="00931A31">
        <w:lastRenderedPageBreak/>
        <w:t>aligned with feedback from retail water companies during our engagement program</w:t>
      </w:r>
    </w:p>
    <w:p w14:paraId="67B4900E" w14:textId="77777777" w:rsidR="00931A31" w:rsidRPr="00931A31" w:rsidRDefault="00931A31" w:rsidP="00CC7887">
      <w:pPr>
        <w:pStyle w:val="ListBullet"/>
      </w:pPr>
      <w:r w:rsidRPr="00931A31">
        <w:t>aligned with existing retail water company guaranteed service levels, including payment amounts</w:t>
      </w:r>
    </w:p>
    <w:p w14:paraId="1507452D" w14:textId="77777777" w:rsidR="00931A31" w:rsidRPr="00931A31" w:rsidRDefault="00931A31" w:rsidP="00CC7887">
      <w:pPr>
        <w:pStyle w:val="ListBullet"/>
      </w:pPr>
      <w:r w:rsidRPr="00931A31">
        <w:t xml:space="preserve">use existing processes to identify and pay affected households and businesses, with Melbourne Water to reimburse the retail water companies. </w:t>
      </w:r>
    </w:p>
    <w:p w14:paraId="52F58BE4" w14:textId="77777777" w:rsidR="00931A31" w:rsidRPr="00931A31" w:rsidRDefault="00931A31" w:rsidP="00CC7887">
      <w:pPr>
        <w:pStyle w:val="BodyText"/>
      </w:pPr>
      <w:r w:rsidRPr="00931A31">
        <w:t xml:space="preserve">We will continue refining our guaranteed service levels to have them in place for 1 July 2021. More detail will be provided during the Essential Services Commission’s review of our submission. </w:t>
      </w:r>
    </w:p>
    <w:p w14:paraId="540257CD" w14:textId="5BC6E7AF" w:rsidR="00CC7887" w:rsidRPr="0047594A" w:rsidRDefault="00CC7887" w:rsidP="0047594A">
      <w:pPr>
        <w:pStyle w:val="BodyText"/>
        <w:rPr>
          <w:rStyle w:val="Bold"/>
        </w:rPr>
      </w:pPr>
      <w:bookmarkStart w:id="73" w:name="_Toc55905518"/>
      <w:r w:rsidRPr="0047594A">
        <w:rPr>
          <w:rStyle w:val="Bold"/>
        </w:rPr>
        <w:t>Acknowledgement</w:t>
      </w:r>
      <w:bookmarkEnd w:id="73"/>
    </w:p>
    <w:p w14:paraId="31047AAD" w14:textId="3689800E" w:rsidR="00931A31" w:rsidRPr="00931A31" w:rsidRDefault="00931A31" w:rsidP="00CC7887">
      <w:pPr>
        <w:pStyle w:val="BodyText"/>
      </w:pPr>
      <w:r w:rsidRPr="00931A31">
        <w:t>Our Price Submission 2021 is the result of extensive engagement with our customers and community, many of whom committed significant tim</w:t>
      </w:r>
      <w:r w:rsidR="00CC7887">
        <w:t>e and effort over a 20</w:t>
      </w:r>
      <w:r w:rsidRPr="00931A31">
        <w:t>-month period.</w:t>
      </w:r>
    </w:p>
    <w:p w14:paraId="10B5B86A" w14:textId="312C66E5" w:rsidR="001231D2" w:rsidRPr="001231D2" w:rsidRDefault="00931A31" w:rsidP="00CC7887">
      <w:pPr>
        <w:pStyle w:val="BodyText"/>
      </w:pPr>
      <w:r w:rsidRPr="00931A31">
        <w:t>We would like to extend our thanks to all those who contributed to our submission – whether through customer councils, panels, surveys, focus groups or forums – and whose valuable perspectives and insights have been integral to shaping services valued by Melburnians.</w:t>
      </w:r>
      <w:bookmarkEnd w:id="0"/>
      <w:bookmarkEnd w:id="1"/>
      <w:bookmarkEnd w:id="2"/>
      <w:bookmarkEnd w:id="3"/>
    </w:p>
    <w:sectPr w:rsidR="001231D2" w:rsidRPr="001231D2" w:rsidSect="005F0457">
      <w:endnotePr>
        <w:numFmt w:val="decimal"/>
      </w:endnotePr>
      <w:pgSz w:w="11900" w:h="16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8891" w14:textId="77777777" w:rsidR="009C3E49" w:rsidRDefault="009C3E49" w:rsidP="00BC719D">
      <w:r>
        <w:separator/>
      </w:r>
    </w:p>
  </w:endnote>
  <w:endnote w:type="continuationSeparator" w:id="0">
    <w:p w14:paraId="37EA909B" w14:textId="77777777" w:rsidR="009C3E49" w:rsidRDefault="009C3E49"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A9D54" w14:textId="1BAD316F" w:rsidR="009A0CAC" w:rsidRPr="00090557" w:rsidRDefault="009A0CAC" w:rsidP="00090557">
    <w:pPr>
      <w:pStyle w:val="Footer"/>
    </w:pPr>
    <w:r>
      <w:rPr>
        <w:noProof w:val="0"/>
      </w:rPr>
      <w:fldChar w:fldCharType="begin"/>
    </w:r>
    <w:r>
      <w:instrText xml:space="preserve"> PAGE   \* MERGEFORMAT </w:instrText>
    </w:r>
    <w:r>
      <w:rPr>
        <w:noProof w:val="0"/>
      </w:rPr>
      <w:fldChar w:fldCharType="separate"/>
    </w:r>
    <w:r w:rsidR="009C3DA8">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747AC" w14:textId="77777777" w:rsidR="009C3E49" w:rsidRPr="00B75A8E" w:rsidRDefault="009C3E49" w:rsidP="00B75A8E">
      <w:r>
        <w:separator/>
      </w:r>
    </w:p>
  </w:footnote>
  <w:footnote w:type="continuationSeparator" w:id="0">
    <w:p w14:paraId="2F3F6327" w14:textId="77777777" w:rsidR="009C3E49" w:rsidRDefault="009C3E49" w:rsidP="00EA2130">
      <w:r>
        <w:continuationSeparator/>
      </w:r>
    </w:p>
  </w:footnote>
  <w:footnote w:id="1">
    <w:p w14:paraId="2E277B06" w14:textId="028A6C04" w:rsidR="009A0CAC" w:rsidRPr="005320C1" w:rsidRDefault="009A0CAC">
      <w:pPr>
        <w:pStyle w:val="FootnoteText"/>
        <w:rPr>
          <w:lang w:val="en-US"/>
        </w:rPr>
      </w:pPr>
      <w:r>
        <w:rPr>
          <w:rStyle w:val="FootnoteReference"/>
        </w:rPr>
        <w:footnoteRef/>
      </w:r>
      <w:r>
        <w:t xml:space="preserve"> </w:t>
      </w:r>
      <w:r w:rsidRPr="002F36FE">
        <w:t>esc.vic.gov.au/water</w:t>
      </w:r>
    </w:p>
  </w:footnote>
  <w:footnote w:id="2">
    <w:p w14:paraId="4EB98996" w14:textId="2A53F480" w:rsidR="007F3C2C" w:rsidRDefault="007F3C2C">
      <w:pPr>
        <w:pStyle w:val="FootnoteText"/>
      </w:pPr>
      <w:r>
        <w:rPr>
          <w:rStyle w:val="FootnoteReference"/>
        </w:rPr>
        <w:footnoteRef/>
      </w:r>
      <w:r>
        <w:t xml:space="preserve"> </w:t>
      </w:r>
      <w:r w:rsidRPr="007F3C2C">
        <w:t>Customer impact is calculated in real dollar terms (adjusted to exclude the effect of inflation), on the basis of total revenue requirement per total customers.</w:t>
      </w:r>
    </w:p>
  </w:footnote>
  <w:footnote w:id="3">
    <w:p w14:paraId="473D2D04" w14:textId="0051D482" w:rsidR="007F3C2C" w:rsidRDefault="007F3C2C">
      <w:pPr>
        <w:pStyle w:val="FootnoteText"/>
      </w:pPr>
      <w:r>
        <w:rPr>
          <w:rStyle w:val="FootnoteReference"/>
        </w:rPr>
        <w:footnoteRef/>
      </w:r>
      <w:r>
        <w:t xml:space="preserve"> </w:t>
      </w:r>
      <w:r w:rsidRPr="007F3C2C">
        <w:t>Note: Increases for Western Water and South Gippsland Water are driven by growth in demand.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1D707F6C"/>
    <w:multiLevelType w:val="hybridMultilevel"/>
    <w:tmpl w:val="6D720AFA"/>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8D1A98C0">
      <w:start w:val="1"/>
      <w:numFmt w:val="decimal"/>
      <w:pStyle w:val="PullBoxNumber"/>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388D25FB"/>
    <w:multiLevelType w:val="multilevel"/>
    <w:tmpl w:val="84982CE0"/>
    <w:lvl w:ilvl="0">
      <w:start w:val="1"/>
      <w:numFmt w:val="bullet"/>
      <w:pStyle w:val="TableBullet"/>
      <w:lvlText w:val="–"/>
      <w:lvlJc w:val="left"/>
      <w:pPr>
        <w:ind w:left="170" w:hanging="170"/>
      </w:pPr>
      <w:rPr>
        <w:rFonts w:ascii="Calibri" w:hAnsi="Calibri" w:hint="default"/>
      </w:rPr>
    </w:lvl>
    <w:lvl w:ilvl="1">
      <w:start w:val="1"/>
      <w:numFmt w:val="bullet"/>
      <w:pStyle w:val="TableBullet2"/>
      <w:lvlText w:val="–"/>
      <w:lvlJc w:val="left"/>
      <w:pPr>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38C10957"/>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48A107A1"/>
    <w:multiLevelType w:val="multilevel"/>
    <w:tmpl w:val="494AFE7E"/>
    <w:lvl w:ilvl="0">
      <w:start w:val="1"/>
      <w:numFmt w:val="lowerLetter"/>
      <w:pStyle w:val="AlphaList"/>
      <w:lvlText w:val="%1)"/>
      <w:lvlJc w:val="left"/>
      <w:pPr>
        <w:ind w:left="284" w:hanging="284"/>
      </w:pPr>
      <w:rPr>
        <w:rFonts w:ascii="Arial" w:hAnsi="Arial" w:hint="default"/>
        <w:color w:val="auto"/>
        <w:sz w:val="20"/>
        <w:szCs w:val="1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 w15:restartNumberingAfterBreak="0">
    <w:nsid w:val="6C0C69B8"/>
    <w:multiLevelType w:val="hybridMultilevel"/>
    <w:tmpl w:val="376ECE4A"/>
    <w:lvl w:ilvl="0" w:tplc="798ED322">
      <w:start w:val="1"/>
      <w:numFmt w:val="bullet"/>
      <w:pStyle w:val="PullBoxBullet"/>
      <w:lvlText w:val=""/>
      <w:lvlJc w:val="left"/>
      <w:pPr>
        <w:ind w:left="890" w:hanging="360"/>
      </w:pPr>
      <w:rPr>
        <w:rFonts w:ascii="Symbol" w:hAnsi="Symbol" w:hint="default"/>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7E030DAE"/>
    <w:multiLevelType w:val="multilevel"/>
    <w:tmpl w:val="9F2A8B76"/>
    <w:styleLink w:val="HangingList"/>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4"/>
  </w:num>
  <w:num w:numId="4">
    <w:abstractNumId w:val="1"/>
  </w:num>
  <w:num w:numId="5">
    <w:abstractNumId w:val="7"/>
  </w:num>
  <w:num w:numId="6">
    <w:abstractNumId w:val="3"/>
  </w:num>
  <w:num w:numId="7">
    <w:abstractNumId w:val="5"/>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EA"/>
    <w:rsid w:val="00000370"/>
    <w:rsid w:val="00001520"/>
    <w:rsid w:val="00004C2B"/>
    <w:rsid w:val="00004CE5"/>
    <w:rsid w:val="0000731D"/>
    <w:rsid w:val="00007AE1"/>
    <w:rsid w:val="00007DC2"/>
    <w:rsid w:val="00010A6D"/>
    <w:rsid w:val="0001128B"/>
    <w:rsid w:val="00012A20"/>
    <w:rsid w:val="000144F5"/>
    <w:rsid w:val="00015815"/>
    <w:rsid w:val="0001756E"/>
    <w:rsid w:val="000203E2"/>
    <w:rsid w:val="00022807"/>
    <w:rsid w:val="00023256"/>
    <w:rsid w:val="00024621"/>
    <w:rsid w:val="00024E34"/>
    <w:rsid w:val="000261A5"/>
    <w:rsid w:val="000265A6"/>
    <w:rsid w:val="000274CC"/>
    <w:rsid w:val="0003656F"/>
    <w:rsid w:val="00037A24"/>
    <w:rsid w:val="00037A39"/>
    <w:rsid w:val="00042507"/>
    <w:rsid w:val="00042CD5"/>
    <w:rsid w:val="00042FE1"/>
    <w:rsid w:val="000437C5"/>
    <w:rsid w:val="0004452C"/>
    <w:rsid w:val="00045CC5"/>
    <w:rsid w:val="000474AE"/>
    <w:rsid w:val="0005289E"/>
    <w:rsid w:val="00053507"/>
    <w:rsid w:val="00056547"/>
    <w:rsid w:val="00057D0A"/>
    <w:rsid w:val="0006081F"/>
    <w:rsid w:val="00062EDF"/>
    <w:rsid w:val="000649DA"/>
    <w:rsid w:val="00064C0F"/>
    <w:rsid w:val="00066447"/>
    <w:rsid w:val="0007106B"/>
    <w:rsid w:val="00071857"/>
    <w:rsid w:val="00072143"/>
    <w:rsid w:val="000766A9"/>
    <w:rsid w:val="00076CA7"/>
    <w:rsid w:val="000772A5"/>
    <w:rsid w:val="0008250D"/>
    <w:rsid w:val="00082648"/>
    <w:rsid w:val="000839A8"/>
    <w:rsid w:val="00085FC6"/>
    <w:rsid w:val="00086266"/>
    <w:rsid w:val="00090557"/>
    <w:rsid w:val="000956D9"/>
    <w:rsid w:val="00097892"/>
    <w:rsid w:val="000A0B7F"/>
    <w:rsid w:val="000A2BDA"/>
    <w:rsid w:val="000A5983"/>
    <w:rsid w:val="000A65CC"/>
    <w:rsid w:val="000B1C57"/>
    <w:rsid w:val="000B28DF"/>
    <w:rsid w:val="000B44C4"/>
    <w:rsid w:val="000B5EAA"/>
    <w:rsid w:val="000B6DF9"/>
    <w:rsid w:val="000B7C6D"/>
    <w:rsid w:val="000C0958"/>
    <w:rsid w:val="000C5C7B"/>
    <w:rsid w:val="000C6320"/>
    <w:rsid w:val="000D1C31"/>
    <w:rsid w:val="000E26CA"/>
    <w:rsid w:val="000E2F42"/>
    <w:rsid w:val="000E3FC3"/>
    <w:rsid w:val="000E48AD"/>
    <w:rsid w:val="000E7677"/>
    <w:rsid w:val="000F037B"/>
    <w:rsid w:val="000F03FF"/>
    <w:rsid w:val="000F6626"/>
    <w:rsid w:val="000F7D11"/>
    <w:rsid w:val="00103E41"/>
    <w:rsid w:val="001040D6"/>
    <w:rsid w:val="00106486"/>
    <w:rsid w:val="001064AA"/>
    <w:rsid w:val="00110008"/>
    <w:rsid w:val="00111DC9"/>
    <w:rsid w:val="00122CCF"/>
    <w:rsid w:val="00122E25"/>
    <w:rsid w:val="001231D2"/>
    <w:rsid w:val="00124F58"/>
    <w:rsid w:val="001261B4"/>
    <w:rsid w:val="00127783"/>
    <w:rsid w:val="00130270"/>
    <w:rsid w:val="001304B3"/>
    <w:rsid w:val="001304D3"/>
    <w:rsid w:val="00130CCA"/>
    <w:rsid w:val="00131A38"/>
    <w:rsid w:val="00133255"/>
    <w:rsid w:val="00133DD2"/>
    <w:rsid w:val="001354A5"/>
    <w:rsid w:val="00140412"/>
    <w:rsid w:val="00140618"/>
    <w:rsid w:val="00142717"/>
    <w:rsid w:val="001465AA"/>
    <w:rsid w:val="00147BAA"/>
    <w:rsid w:val="00147C6E"/>
    <w:rsid w:val="00152138"/>
    <w:rsid w:val="0015318F"/>
    <w:rsid w:val="00154D14"/>
    <w:rsid w:val="00161085"/>
    <w:rsid w:val="0016509B"/>
    <w:rsid w:val="00171C86"/>
    <w:rsid w:val="001726DE"/>
    <w:rsid w:val="00174E16"/>
    <w:rsid w:val="00180F9D"/>
    <w:rsid w:val="001813CF"/>
    <w:rsid w:val="00181946"/>
    <w:rsid w:val="00183448"/>
    <w:rsid w:val="00183AEE"/>
    <w:rsid w:val="00185234"/>
    <w:rsid w:val="00185CEF"/>
    <w:rsid w:val="00186FAD"/>
    <w:rsid w:val="00187D19"/>
    <w:rsid w:val="00190B0E"/>
    <w:rsid w:val="0019284F"/>
    <w:rsid w:val="0019385B"/>
    <w:rsid w:val="00194CBC"/>
    <w:rsid w:val="00195042"/>
    <w:rsid w:val="0019618E"/>
    <w:rsid w:val="0019648F"/>
    <w:rsid w:val="001A1945"/>
    <w:rsid w:val="001A1B3E"/>
    <w:rsid w:val="001A2FDE"/>
    <w:rsid w:val="001A4EDF"/>
    <w:rsid w:val="001B137C"/>
    <w:rsid w:val="001B238F"/>
    <w:rsid w:val="001B428C"/>
    <w:rsid w:val="001B5CE2"/>
    <w:rsid w:val="001B6CA0"/>
    <w:rsid w:val="001C1EBF"/>
    <w:rsid w:val="001C4F1D"/>
    <w:rsid w:val="001D03A3"/>
    <w:rsid w:val="001D0AE5"/>
    <w:rsid w:val="001D36AC"/>
    <w:rsid w:val="001D6A4C"/>
    <w:rsid w:val="001E00D7"/>
    <w:rsid w:val="001E0BDE"/>
    <w:rsid w:val="001E12DA"/>
    <w:rsid w:val="001E1A3A"/>
    <w:rsid w:val="001E1EB7"/>
    <w:rsid w:val="001E4761"/>
    <w:rsid w:val="001E5756"/>
    <w:rsid w:val="001E7E4D"/>
    <w:rsid w:val="001F3778"/>
    <w:rsid w:val="001F3CA1"/>
    <w:rsid w:val="001F46B4"/>
    <w:rsid w:val="001F49B0"/>
    <w:rsid w:val="001F525A"/>
    <w:rsid w:val="001F554D"/>
    <w:rsid w:val="001F69E8"/>
    <w:rsid w:val="001F6A8B"/>
    <w:rsid w:val="00200FC2"/>
    <w:rsid w:val="00201A9C"/>
    <w:rsid w:val="00202763"/>
    <w:rsid w:val="00202A14"/>
    <w:rsid w:val="00205C10"/>
    <w:rsid w:val="0020600A"/>
    <w:rsid w:val="00207556"/>
    <w:rsid w:val="002079E6"/>
    <w:rsid w:val="00211BE8"/>
    <w:rsid w:val="0021202B"/>
    <w:rsid w:val="002127B7"/>
    <w:rsid w:val="00213F8F"/>
    <w:rsid w:val="00215CB4"/>
    <w:rsid w:val="00215D62"/>
    <w:rsid w:val="00217613"/>
    <w:rsid w:val="002211FF"/>
    <w:rsid w:val="00223BF2"/>
    <w:rsid w:val="00225426"/>
    <w:rsid w:val="002269E0"/>
    <w:rsid w:val="00231084"/>
    <w:rsid w:val="00233AD8"/>
    <w:rsid w:val="00234180"/>
    <w:rsid w:val="002411D2"/>
    <w:rsid w:val="00241E41"/>
    <w:rsid w:val="002436A6"/>
    <w:rsid w:val="002438B7"/>
    <w:rsid w:val="0024420B"/>
    <w:rsid w:val="00244A46"/>
    <w:rsid w:val="0024773F"/>
    <w:rsid w:val="00257ED5"/>
    <w:rsid w:val="002648C3"/>
    <w:rsid w:val="00264EBE"/>
    <w:rsid w:val="002740C3"/>
    <w:rsid w:val="00274408"/>
    <w:rsid w:val="00274497"/>
    <w:rsid w:val="00275960"/>
    <w:rsid w:val="00277C32"/>
    <w:rsid w:val="00282CEF"/>
    <w:rsid w:val="00287C46"/>
    <w:rsid w:val="00292BD0"/>
    <w:rsid w:val="00294353"/>
    <w:rsid w:val="002966AA"/>
    <w:rsid w:val="002A0FC8"/>
    <w:rsid w:val="002A1EF1"/>
    <w:rsid w:val="002A4213"/>
    <w:rsid w:val="002A4AF0"/>
    <w:rsid w:val="002A535A"/>
    <w:rsid w:val="002A6552"/>
    <w:rsid w:val="002A7930"/>
    <w:rsid w:val="002A7CC0"/>
    <w:rsid w:val="002B45CB"/>
    <w:rsid w:val="002B4C5B"/>
    <w:rsid w:val="002B60F7"/>
    <w:rsid w:val="002B67F4"/>
    <w:rsid w:val="002C002F"/>
    <w:rsid w:val="002C657D"/>
    <w:rsid w:val="002D1D33"/>
    <w:rsid w:val="002D2A92"/>
    <w:rsid w:val="002D6E73"/>
    <w:rsid w:val="002D7376"/>
    <w:rsid w:val="002E1628"/>
    <w:rsid w:val="002E4153"/>
    <w:rsid w:val="002E55B1"/>
    <w:rsid w:val="002E5CB2"/>
    <w:rsid w:val="002E7276"/>
    <w:rsid w:val="002F36FE"/>
    <w:rsid w:val="002F3B7F"/>
    <w:rsid w:val="002F3CD1"/>
    <w:rsid w:val="002F43DE"/>
    <w:rsid w:val="002F47B6"/>
    <w:rsid w:val="002F603A"/>
    <w:rsid w:val="002F6A88"/>
    <w:rsid w:val="002F7A85"/>
    <w:rsid w:val="00301F3E"/>
    <w:rsid w:val="00304E0B"/>
    <w:rsid w:val="003066C3"/>
    <w:rsid w:val="00307B8D"/>
    <w:rsid w:val="00312CB7"/>
    <w:rsid w:val="00312E84"/>
    <w:rsid w:val="0031331B"/>
    <w:rsid w:val="00314038"/>
    <w:rsid w:val="003153D0"/>
    <w:rsid w:val="0031549B"/>
    <w:rsid w:val="00316785"/>
    <w:rsid w:val="003170EB"/>
    <w:rsid w:val="00320536"/>
    <w:rsid w:val="00321D5D"/>
    <w:rsid w:val="003235B9"/>
    <w:rsid w:val="00327090"/>
    <w:rsid w:val="00330DD5"/>
    <w:rsid w:val="003340B0"/>
    <w:rsid w:val="00334477"/>
    <w:rsid w:val="00341BB3"/>
    <w:rsid w:val="00341C55"/>
    <w:rsid w:val="00347AF6"/>
    <w:rsid w:val="00347FEA"/>
    <w:rsid w:val="00351B93"/>
    <w:rsid w:val="003527E5"/>
    <w:rsid w:val="003558C7"/>
    <w:rsid w:val="00355DF1"/>
    <w:rsid w:val="00361071"/>
    <w:rsid w:val="00361E41"/>
    <w:rsid w:val="00361F82"/>
    <w:rsid w:val="0036419A"/>
    <w:rsid w:val="003645FE"/>
    <w:rsid w:val="003666FF"/>
    <w:rsid w:val="00367450"/>
    <w:rsid w:val="00370DB1"/>
    <w:rsid w:val="00371137"/>
    <w:rsid w:val="003720BC"/>
    <w:rsid w:val="00375A97"/>
    <w:rsid w:val="00376F2D"/>
    <w:rsid w:val="003815D9"/>
    <w:rsid w:val="003851DC"/>
    <w:rsid w:val="003875CB"/>
    <w:rsid w:val="003879E9"/>
    <w:rsid w:val="00387CCC"/>
    <w:rsid w:val="0039175C"/>
    <w:rsid w:val="00391A1F"/>
    <w:rsid w:val="00392688"/>
    <w:rsid w:val="00392A82"/>
    <w:rsid w:val="003954CC"/>
    <w:rsid w:val="0039769A"/>
    <w:rsid w:val="003A22D1"/>
    <w:rsid w:val="003A22ED"/>
    <w:rsid w:val="003A29D0"/>
    <w:rsid w:val="003A46F8"/>
    <w:rsid w:val="003A4A90"/>
    <w:rsid w:val="003A5F7C"/>
    <w:rsid w:val="003A6956"/>
    <w:rsid w:val="003B25B9"/>
    <w:rsid w:val="003B5D25"/>
    <w:rsid w:val="003B6B1C"/>
    <w:rsid w:val="003B7E42"/>
    <w:rsid w:val="003C3262"/>
    <w:rsid w:val="003C3A75"/>
    <w:rsid w:val="003C46AE"/>
    <w:rsid w:val="003C624C"/>
    <w:rsid w:val="003C771B"/>
    <w:rsid w:val="003D082B"/>
    <w:rsid w:val="003D19EB"/>
    <w:rsid w:val="003D63A8"/>
    <w:rsid w:val="003E2642"/>
    <w:rsid w:val="003E29F9"/>
    <w:rsid w:val="003E32FF"/>
    <w:rsid w:val="003E3A9F"/>
    <w:rsid w:val="003E54F3"/>
    <w:rsid w:val="003F0691"/>
    <w:rsid w:val="003F0DDA"/>
    <w:rsid w:val="003F18B5"/>
    <w:rsid w:val="0040364A"/>
    <w:rsid w:val="00404BC6"/>
    <w:rsid w:val="004051D6"/>
    <w:rsid w:val="004063B1"/>
    <w:rsid w:val="0040699D"/>
    <w:rsid w:val="00407214"/>
    <w:rsid w:val="00407429"/>
    <w:rsid w:val="004100FF"/>
    <w:rsid w:val="00412051"/>
    <w:rsid w:val="00413909"/>
    <w:rsid w:val="0041505F"/>
    <w:rsid w:val="004173D9"/>
    <w:rsid w:val="00417864"/>
    <w:rsid w:val="00417BB4"/>
    <w:rsid w:val="004234FA"/>
    <w:rsid w:val="004237CA"/>
    <w:rsid w:val="00426584"/>
    <w:rsid w:val="004266BB"/>
    <w:rsid w:val="004314A9"/>
    <w:rsid w:val="00431933"/>
    <w:rsid w:val="00431D45"/>
    <w:rsid w:val="004321BD"/>
    <w:rsid w:val="00437E2E"/>
    <w:rsid w:val="00441C3A"/>
    <w:rsid w:val="00442706"/>
    <w:rsid w:val="004446AD"/>
    <w:rsid w:val="00444D5A"/>
    <w:rsid w:val="00445A2E"/>
    <w:rsid w:val="00450B13"/>
    <w:rsid w:val="00450B9C"/>
    <w:rsid w:val="00452DD1"/>
    <w:rsid w:val="00455ECF"/>
    <w:rsid w:val="004564F4"/>
    <w:rsid w:val="0045681D"/>
    <w:rsid w:val="00457042"/>
    <w:rsid w:val="00460045"/>
    <w:rsid w:val="00465284"/>
    <w:rsid w:val="00466E55"/>
    <w:rsid w:val="00470041"/>
    <w:rsid w:val="00471085"/>
    <w:rsid w:val="0047594A"/>
    <w:rsid w:val="00475987"/>
    <w:rsid w:val="00475F1C"/>
    <w:rsid w:val="00476877"/>
    <w:rsid w:val="00480696"/>
    <w:rsid w:val="00483EE2"/>
    <w:rsid w:val="004845B5"/>
    <w:rsid w:val="004850AE"/>
    <w:rsid w:val="00485952"/>
    <w:rsid w:val="00486015"/>
    <w:rsid w:val="00487C05"/>
    <w:rsid w:val="00490330"/>
    <w:rsid w:val="0049063A"/>
    <w:rsid w:val="004909BB"/>
    <w:rsid w:val="00491BE2"/>
    <w:rsid w:val="004923C0"/>
    <w:rsid w:val="004935D5"/>
    <w:rsid w:val="00493E0A"/>
    <w:rsid w:val="00494A2D"/>
    <w:rsid w:val="004970AE"/>
    <w:rsid w:val="0049778C"/>
    <w:rsid w:val="004A1468"/>
    <w:rsid w:val="004A26CE"/>
    <w:rsid w:val="004A33BB"/>
    <w:rsid w:val="004A43F1"/>
    <w:rsid w:val="004A7D44"/>
    <w:rsid w:val="004B69CD"/>
    <w:rsid w:val="004C037B"/>
    <w:rsid w:val="004C2B7C"/>
    <w:rsid w:val="004C32B3"/>
    <w:rsid w:val="004C5AEA"/>
    <w:rsid w:val="004D00DD"/>
    <w:rsid w:val="004D1E4E"/>
    <w:rsid w:val="004D6521"/>
    <w:rsid w:val="004E1ECE"/>
    <w:rsid w:val="004E33F4"/>
    <w:rsid w:val="004E7F1A"/>
    <w:rsid w:val="004F2CB0"/>
    <w:rsid w:val="004F2CE7"/>
    <w:rsid w:val="004F3249"/>
    <w:rsid w:val="004F54F5"/>
    <w:rsid w:val="004F579C"/>
    <w:rsid w:val="004F5F69"/>
    <w:rsid w:val="004F61E3"/>
    <w:rsid w:val="00503107"/>
    <w:rsid w:val="0050520D"/>
    <w:rsid w:val="00506A4F"/>
    <w:rsid w:val="00510F61"/>
    <w:rsid w:val="00520A44"/>
    <w:rsid w:val="00523894"/>
    <w:rsid w:val="00523C7C"/>
    <w:rsid w:val="00523DAB"/>
    <w:rsid w:val="005314E2"/>
    <w:rsid w:val="005318B5"/>
    <w:rsid w:val="005320C1"/>
    <w:rsid w:val="00532A9A"/>
    <w:rsid w:val="00535159"/>
    <w:rsid w:val="0053666A"/>
    <w:rsid w:val="00536F0E"/>
    <w:rsid w:val="00537CF6"/>
    <w:rsid w:val="00537FE4"/>
    <w:rsid w:val="00540095"/>
    <w:rsid w:val="005402F3"/>
    <w:rsid w:val="00541809"/>
    <w:rsid w:val="00542337"/>
    <w:rsid w:val="00544823"/>
    <w:rsid w:val="00545342"/>
    <w:rsid w:val="00554EF6"/>
    <w:rsid w:val="00555733"/>
    <w:rsid w:val="00561A58"/>
    <w:rsid w:val="005620A0"/>
    <w:rsid w:val="00563F4B"/>
    <w:rsid w:val="00564930"/>
    <w:rsid w:val="0056634E"/>
    <w:rsid w:val="00566690"/>
    <w:rsid w:val="005669D2"/>
    <w:rsid w:val="005713BF"/>
    <w:rsid w:val="00572566"/>
    <w:rsid w:val="0057264C"/>
    <w:rsid w:val="00573495"/>
    <w:rsid w:val="005766A6"/>
    <w:rsid w:val="00577A39"/>
    <w:rsid w:val="00577D02"/>
    <w:rsid w:val="0058000C"/>
    <w:rsid w:val="00580A3E"/>
    <w:rsid w:val="005812D6"/>
    <w:rsid w:val="005814F5"/>
    <w:rsid w:val="0058177C"/>
    <w:rsid w:val="00583191"/>
    <w:rsid w:val="005853A1"/>
    <w:rsid w:val="0058778E"/>
    <w:rsid w:val="00594119"/>
    <w:rsid w:val="005B084E"/>
    <w:rsid w:val="005B1C02"/>
    <w:rsid w:val="005B2E08"/>
    <w:rsid w:val="005B405D"/>
    <w:rsid w:val="005B5FA2"/>
    <w:rsid w:val="005B681A"/>
    <w:rsid w:val="005B7AAE"/>
    <w:rsid w:val="005C1934"/>
    <w:rsid w:val="005C2BAF"/>
    <w:rsid w:val="005C3187"/>
    <w:rsid w:val="005C5A81"/>
    <w:rsid w:val="005D1B31"/>
    <w:rsid w:val="005D30BA"/>
    <w:rsid w:val="005D4E86"/>
    <w:rsid w:val="005D587F"/>
    <w:rsid w:val="005E078B"/>
    <w:rsid w:val="005E1150"/>
    <w:rsid w:val="005E3834"/>
    <w:rsid w:val="005E652B"/>
    <w:rsid w:val="005F0457"/>
    <w:rsid w:val="005F0467"/>
    <w:rsid w:val="005F1419"/>
    <w:rsid w:val="005F4391"/>
    <w:rsid w:val="005F4BD0"/>
    <w:rsid w:val="005F5B35"/>
    <w:rsid w:val="00600011"/>
    <w:rsid w:val="006009A5"/>
    <w:rsid w:val="00601B10"/>
    <w:rsid w:val="00604ECC"/>
    <w:rsid w:val="00604FF2"/>
    <w:rsid w:val="00605587"/>
    <w:rsid w:val="00605914"/>
    <w:rsid w:val="00605BD2"/>
    <w:rsid w:val="00606177"/>
    <w:rsid w:val="006111CE"/>
    <w:rsid w:val="0061396C"/>
    <w:rsid w:val="00613E93"/>
    <w:rsid w:val="0061420E"/>
    <w:rsid w:val="00614A3D"/>
    <w:rsid w:val="00614E0C"/>
    <w:rsid w:val="00616BFA"/>
    <w:rsid w:val="006213E5"/>
    <w:rsid w:val="00623735"/>
    <w:rsid w:val="00625642"/>
    <w:rsid w:val="006318BE"/>
    <w:rsid w:val="0063365E"/>
    <w:rsid w:val="0063472B"/>
    <w:rsid w:val="00634C9F"/>
    <w:rsid w:val="00635979"/>
    <w:rsid w:val="00637B55"/>
    <w:rsid w:val="00641625"/>
    <w:rsid w:val="0064237B"/>
    <w:rsid w:val="006432EC"/>
    <w:rsid w:val="006443C7"/>
    <w:rsid w:val="00644B21"/>
    <w:rsid w:val="0064656C"/>
    <w:rsid w:val="00646735"/>
    <w:rsid w:val="00646880"/>
    <w:rsid w:val="00646A73"/>
    <w:rsid w:val="00650FE6"/>
    <w:rsid w:val="00651DD5"/>
    <w:rsid w:val="00653FB7"/>
    <w:rsid w:val="0065666C"/>
    <w:rsid w:val="0065732A"/>
    <w:rsid w:val="00665C1F"/>
    <w:rsid w:val="00670268"/>
    <w:rsid w:val="00670B6A"/>
    <w:rsid w:val="0067164F"/>
    <w:rsid w:val="00672203"/>
    <w:rsid w:val="0067388F"/>
    <w:rsid w:val="00674F7F"/>
    <w:rsid w:val="00675B7B"/>
    <w:rsid w:val="006769CD"/>
    <w:rsid w:val="00682913"/>
    <w:rsid w:val="00682C72"/>
    <w:rsid w:val="00685C5A"/>
    <w:rsid w:val="00686048"/>
    <w:rsid w:val="00686ADF"/>
    <w:rsid w:val="00687D4A"/>
    <w:rsid w:val="00690619"/>
    <w:rsid w:val="0069316D"/>
    <w:rsid w:val="00693408"/>
    <w:rsid w:val="00694510"/>
    <w:rsid w:val="00695B6F"/>
    <w:rsid w:val="006A28EA"/>
    <w:rsid w:val="006A28F1"/>
    <w:rsid w:val="006A2DFF"/>
    <w:rsid w:val="006A2F63"/>
    <w:rsid w:val="006A360A"/>
    <w:rsid w:val="006A3718"/>
    <w:rsid w:val="006A3BCE"/>
    <w:rsid w:val="006A5F2F"/>
    <w:rsid w:val="006B3FA5"/>
    <w:rsid w:val="006B5D29"/>
    <w:rsid w:val="006B6026"/>
    <w:rsid w:val="006B6588"/>
    <w:rsid w:val="006B6C32"/>
    <w:rsid w:val="006C078C"/>
    <w:rsid w:val="006C1BF7"/>
    <w:rsid w:val="006C29AE"/>
    <w:rsid w:val="006C50AC"/>
    <w:rsid w:val="006C512A"/>
    <w:rsid w:val="006C5552"/>
    <w:rsid w:val="006C56DF"/>
    <w:rsid w:val="006C7F7B"/>
    <w:rsid w:val="006D03ED"/>
    <w:rsid w:val="006D1B1E"/>
    <w:rsid w:val="006D1F35"/>
    <w:rsid w:val="006E4222"/>
    <w:rsid w:val="006E51B7"/>
    <w:rsid w:val="006F074C"/>
    <w:rsid w:val="006F6AD2"/>
    <w:rsid w:val="006F7CCE"/>
    <w:rsid w:val="00702510"/>
    <w:rsid w:val="00712950"/>
    <w:rsid w:val="0071571C"/>
    <w:rsid w:val="00715B3E"/>
    <w:rsid w:val="00722ABD"/>
    <w:rsid w:val="00722E01"/>
    <w:rsid w:val="00723A7F"/>
    <w:rsid w:val="00723DCC"/>
    <w:rsid w:val="00727976"/>
    <w:rsid w:val="00727B2F"/>
    <w:rsid w:val="00727EB6"/>
    <w:rsid w:val="00730356"/>
    <w:rsid w:val="00731249"/>
    <w:rsid w:val="007321DA"/>
    <w:rsid w:val="0073401D"/>
    <w:rsid w:val="0073410C"/>
    <w:rsid w:val="00735911"/>
    <w:rsid w:val="007361D8"/>
    <w:rsid w:val="00736BD1"/>
    <w:rsid w:val="007378D6"/>
    <w:rsid w:val="00737A99"/>
    <w:rsid w:val="007422B4"/>
    <w:rsid w:val="00744954"/>
    <w:rsid w:val="007501B6"/>
    <w:rsid w:val="00750494"/>
    <w:rsid w:val="007512D0"/>
    <w:rsid w:val="0075238A"/>
    <w:rsid w:val="00753922"/>
    <w:rsid w:val="00753F02"/>
    <w:rsid w:val="00754423"/>
    <w:rsid w:val="00755204"/>
    <w:rsid w:val="00755360"/>
    <w:rsid w:val="00755C80"/>
    <w:rsid w:val="007564E9"/>
    <w:rsid w:val="0075769E"/>
    <w:rsid w:val="00760AFD"/>
    <w:rsid w:val="00761695"/>
    <w:rsid w:val="007617C6"/>
    <w:rsid w:val="00763146"/>
    <w:rsid w:val="00763E4C"/>
    <w:rsid w:val="0076641A"/>
    <w:rsid w:val="00770015"/>
    <w:rsid w:val="00771A31"/>
    <w:rsid w:val="0077215D"/>
    <w:rsid w:val="0077450D"/>
    <w:rsid w:val="00774CB3"/>
    <w:rsid w:val="0077544D"/>
    <w:rsid w:val="007762D5"/>
    <w:rsid w:val="00777640"/>
    <w:rsid w:val="0078131A"/>
    <w:rsid w:val="00782E37"/>
    <w:rsid w:val="00785285"/>
    <w:rsid w:val="007865F1"/>
    <w:rsid w:val="00792EF8"/>
    <w:rsid w:val="0079314C"/>
    <w:rsid w:val="00796434"/>
    <w:rsid w:val="007A0AA6"/>
    <w:rsid w:val="007A0D87"/>
    <w:rsid w:val="007A174B"/>
    <w:rsid w:val="007A1F9B"/>
    <w:rsid w:val="007A27BC"/>
    <w:rsid w:val="007A35F8"/>
    <w:rsid w:val="007A5E86"/>
    <w:rsid w:val="007B1BA4"/>
    <w:rsid w:val="007B3540"/>
    <w:rsid w:val="007B4A37"/>
    <w:rsid w:val="007B5CC6"/>
    <w:rsid w:val="007B7514"/>
    <w:rsid w:val="007B7B7A"/>
    <w:rsid w:val="007C2694"/>
    <w:rsid w:val="007C3017"/>
    <w:rsid w:val="007C3173"/>
    <w:rsid w:val="007C347F"/>
    <w:rsid w:val="007C3E1B"/>
    <w:rsid w:val="007C59D6"/>
    <w:rsid w:val="007C6616"/>
    <w:rsid w:val="007D0954"/>
    <w:rsid w:val="007D0B49"/>
    <w:rsid w:val="007D2122"/>
    <w:rsid w:val="007D2BB2"/>
    <w:rsid w:val="007D5134"/>
    <w:rsid w:val="007D55D0"/>
    <w:rsid w:val="007E0A0D"/>
    <w:rsid w:val="007E0ECD"/>
    <w:rsid w:val="007E0FB4"/>
    <w:rsid w:val="007E12EE"/>
    <w:rsid w:val="007E15C9"/>
    <w:rsid w:val="007E4B8B"/>
    <w:rsid w:val="007E5B8E"/>
    <w:rsid w:val="007E639A"/>
    <w:rsid w:val="007F0661"/>
    <w:rsid w:val="007F3377"/>
    <w:rsid w:val="007F36B2"/>
    <w:rsid w:val="007F3C2C"/>
    <w:rsid w:val="007F3F04"/>
    <w:rsid w:val="007F42A8"/>
    <w:rsid w:val="007F638D"/>
    <w:rsid w:val="007F6B78"/>
    <w:rsid w:val="00803A3F"/>
    <w:rsid w:val="008054C5"/>
    <w:rsid w:val="00806F0F"/>
    <w:rsid w:val="00807F70"/>
    <w:rsid w:val="0081026F"/>
    <w:rsid w:val="00811AEC"/>
    <w:rsid w:val="00813BD2"/>
    <w:rsid w:val="00816CB1"/>
    <w:rsid w:val="0082465C"/>
    <w:rsid w:val="00824818"/>
    <w:rsid w:val="008311A7"/>
    <w:rsid w:val="00831224"/>
    <w:rsid w:val="00831870"/>
    <w:rsid w:val="0083242A"/>
    <w:rsid w:val="0083326F"/>
    <w:rsid w:val="00834181"/>
    <w:rsid w:val="00834314"/>
    <w:rsid w:val="00834E53"/>
    <w:rsid w:val="0083562C"/>
    <w:rsid w:val="0083589F"/>
    <w:rsid w:val="008455E7"/>
    <w:rsid w:val="00846327"/>
    <w:rsid w:val="00847301"/>
    <w:rsid w:val="00850D66"/>
    <w:rsid w:val="00852B0E"/>
    <w:rsid w:val="00855889"/>
    <w:rsid w:val="00855D11"/>
    <w:rsid w:val="00855F84"/>
    <w:rsid w:val="008562BA"/>
    <w:rsid w:val="00856528"/>
    <w:rsid w:val="00856D57"/>
    <w:rsid w:val="00857563"/>
    <w:rsid w:val="0086052B"/>
    <w:rsid w:val="00861FF1"/>
    <w:rsid w:val="008652A1"/>
    <w:rsid w:val="00866794"/>
    <w:rsid w:val="0087279A"/>
    <w:rsid w:val="00873AEB"/>
    <w:rsid w:val="0087424E"/>
    <w:rsid w:val="00875D69"/>
    <w:rsid w:val="00880B76"/>
    <w:rsid w:val="008814C2"/>
    <w:rsid w:val="00881A08"/>
    <w:rsid w:val="00881C97"/>
    <w:rsid w:val="00885106"/>
    <w:rsid w:val="00885288"/>
    <w:rsid w:val="00890680"/>
    <w:rsid w:val="00891721"/>
    <w:rsid w:val="008932B0"/>
    <w:rsid w:val="0089701B"/>
    <w:rsid w:val="008A13D8"/>
    <w:rsid w:val="008A1CF2"/>
    <w:rsid w:val="008B6572"/>
    <w:rsid w:val="008C1714"/>
    <w:rsid w:val="008C1D9C"/>
    <w:rsid w:val="008D2DDA"/>
    <w:rsid w:val="008D388A"/>
    <w:rsid w:val="008D6C74"/>
    <w:rsid w:val="008E2476"/>
    <w:rsid w:val="008E393C"/>
    <w:rsid w:val="008E3CEA"/>
    <w:rsid w:val="008E7F6D"/>
    <w:rsid w:val="008F6B51"/>
    <w:rsid w:val="008F6ED9"/>
    <w:rsid w:val="00900FE3"/>
    <w:rsid w:val="0090251F"/>
    <w:rsid w:val="00902599"/>
    <w:rsid w:val="009050C6"/>
    <w:rsid w:val="009061CD"/>
    <w:rsid w:val="009131BD"/>
    <w:rsid w:val="00914348"/>
    <w:rsid w:val="00916E55"/>
    <w:rsid w:val="00917BD7"/>
    <w:rsid w:val="009207A3"/>
    <w:rsid w:val="00920EF5"/>
    <w:rsid w:val="0092191A"/>
    <w:rsid w:val="00922C78"/>
    <w:rsid w:val="00923FD6"/>
    <w:rsid w:val="00924B15"/>
    <w:rsid w:val="00924D6D"/>
    <w:rsid w:val="0092531C"/>
    <w:rsid w:val="00926221"/>
    <w:rsid w:val="00931A31"/>
    <w:rsid w:val="009326E6"/>
    <w:rsid w:val="00932B7A"/>
    <w:rsid w:val="00935233"/>
    <w:rsid w:val="00935AF0"/>
    <w:rsid w:val="00936490"/>
    <w:rsid w:val="00936933"/>
    <w:rsid w:val="00936B97"/>
    <w:rsid w:val="00937DA6"/>
    <w:rsid w:val="00941354"/>
    <w:rsid w:val="009416B5"/>
    <w:rsid w:val="009439E2"/>
    <w:rsid w:val="00944C64"/>
    <w:rsid w:val="009456C6"/>
    <w:rsid w:val="00946EF7"/>
    <w:rsid w:val="00947AB3"/>
    <w:rsid w:val="009517CD"/>
    <w:rsid w:val="00952FFD"/>
    <w:rsid w:val="00955355"/>
    <w:rsid w:val="00955E32"/>
    <w:rsid w:val="00956E2C"/>
    <w:rsid w:val="0095723C"/>
    <w:rsid w:val="0096270C"/>
    <w:rsid w:val="009637A6"/>
    <w:rsid w:val="00965135"/>
    <w:rsid w:val="00966075"/>
    <w:rsid w:val="00967260"/>
    <w:rsid w:val="0097181E"/>
    <w:rsid w:val="00971FA0"/>
    <w:rsid w:val="00972B68"/>
    <w:rsid w:val="00974A56"/>
    <w:rsid w:val="00974D12"/>
    <w:rsid w:val="00977E53"/>
    <w:rsid w:val="009808A9"/>
    <w:rsid w:val="0098394B"/>
    <w:rsid w:val="00985932"/>
    <w:rsid w:val="0098793F"/>
    <w:rsid w:val="00990B3C"/>
    <w:rsid w:val="009928F9"/>
    <w:rsid w:val="00994063"/>
    <w:rsid w:val="00996C2E"/>
    <w:rsid w:val="009A0CAC"/>
    <w:rsid w:val="009A2B5D"/>
    <w:rsid w:val="009A3528"/>
    <w:rsid w:val="009A3719"/>
    <w:rsid w:val="009A6309"/>
    <w:rsid w:val="009A76BF"/>
    <w:rsid w:val="009A7C2E"/>
    <w:rsid w:val="009B1C9A"/>
    <w:rsid w:val="009B28DC"/>
    <w:rsid w:val="009B3934"/>
    <w:rsid w:val="009B41D3"/>
    <w:rsid w:val="009B553E"/>
    <w:rsid w:val="009B5CCC"/>
    <w:rsid w:val="009B64F3"/>
    <w:rsid w:val="009B685A"/>
    <w:rsid w:val="009C0C66"/>
    <w:rsid w:val="009C2D5C"/>
    <w:rsid w:val="009C38C5"/>
    <w:rsid w:val="009C3DA8"/>
    <w:rsid w:val="009C3E49"/>
    <w:rsid w:val="009C604A"/>
    <w:rsid w:val="009C7A6E"/>
    <w:rsid w:val="009D0A31"/>
    <w:rsid w:val="009D0E85"/>
    <w:rsid w:val="009D10AF"/>
    <w:rsid w:val="009D1FBA"/>
    <w:rsid w:val="009D381F"/>
    <w:rsid w:val="009D39DF"/>
    <w:rsid w:val="009D5262"/>
    <w:rsid w:val="009D75F1"/>
    <w:rsid w:val="009E0902"/>
    <w:rsid w:val="009E74FD"/>
    <w:rsid w:val="009E77F5"/>
    <w:rsid w:val="009F2224"/>
    <w:rsid w:val="009F4264"/>
    <w:rsid w:val="009F4681"/>
    <w:rsid w:val="009F6311"/>
    <w:rsid w:val="009F7B68"/>
    <w:rsid w:val="00A00677"/>
    <w:rsid w:val="00A0128A"/>
    <w:rsid w:val="00A01D13"/>
    <w:rsid w:val="00A0219E"/>
    <w:rsid w:val="00A02C0E"/>
    <w:rsid w:val="00A03C37"/>
    <w:rsid w:val="00A05A06"/>
    <w:rsid w:val="00A05E2F"/>
    <w:rsid w:val="00A1099C"/>
    <w:rsid w:val="00A121B3"/>
    <w:rsid w:val="00A12D8D"/>
    <w:rsid w:val="00A13CAD"/>
    <w:rsid w:val="00A2103C"/>
    <w:rsid w:val="00A2171B"/>
    <w:rsid w:val="00A2352F"/>
    <w:rsid w:val="00A252E9"/>
    <w:rsid w:val="00A30D33"/>
    <w:rsid w:val="00A32F11"/>
    <w:rsid w:val="00A334D5"/>
    <w:rsid w:val="00A37343"/>
    <w:rsid w:val="00A41267"/>
    <w:rsid w:val="00A41A18"/>
    <w:rsid w:val="00A46917"/>
    <w:rsid w:val="00A47093"/>
    <w:rsid w:val="00A500D2"/>
    <w:rsid w:val="00A53A11"/>
    <w:rsid w:val="00A54BDF"/>
    <w:rsid w:val="00A560C3"/>
    <w:rsid w:val="00A60820"/>
    <w:rsid w:val="00A62FDA"/>
    <w:rsid w:val="00A656C2"/>
    <w:rsid w:val="00A702AA"/>
    <w:rsid w:val="00A777A2"/>
    <w:rsid w:val="00A83439"/>
    <w:rsid w:val="00A84359"/>
    <w:rsid w:val="00A85570"/>
    <w:rsid w:val="00A8616D"/>
    <w:rsid w:val="00A8651A"/>
    <w:rsid w:val="00A86B3A"/>
    <w:rsid w:val="00A87D2B"/>
    <w:rsid w:val="00A92CFC"/>
    <w:rsid w:val="00A934FB"/>
    <w:rsid w:val="00A941AA"/>
    <w:rsid w:val="00AA15EF"/>
    <w:rsid w:val="00AA1DA2"/>
    <w:rsid w:val="00AA37FD"/>
    <w:rsid w:val="00AA4303"/>
    <w:rsid w:val="00AB5727"/>
    <w:rsid w:val="00AB6132"/>
    <w:rsid w:val="00AC1F57"/>
    <w:rsid w:val="00AC2FEF"/>
    <w:rsid w:val="00AC30BF"/>
    <w:rsid w:val="00AC57E5"/>
    <w:rsid w:val="00AC750F"/>
    <w:rsid w:val="00AC7855"/>
    <w:rsid w:val="00AC7FD1"/>
    <w:rsid w:val="00AD0AA9"/>
    <w:rsid w:val="00AD23ED"/>
    <w:rsid w:val="00AD2B6E"/>
    <w:rsid w:val="00AD2BB9"/>
    <w:rsid w:val="00AD3A0A"/>
    <w:rsid w:val="00AD4933"/>
    <w:rsid w:val="00AD62B9"/>
    <w:rsid w:val="00AD796B"/>
    <w:rsid w:val="00AE262D"/>
    <w:rsid w:val="00AE2A53"/>
    <w:rsid w:val="00AE2F84"/>
    <w:rsid w:val="00AF02E0"/>
    <w:rsid w:val="00AF54E2"/>
    <w:rsid w:val="00AF5B9B"/>
    <w:rsid w:val="00B001E3"/>
    <w:rsid w:val="00B007FD"/>
    <w:rsid w:val="00B0154A"/>
    <w:rsid w:val="00B01F6E"/>
    <w:rsid w:val="00B105EF"/>
    <w:rsid w:val="00B13DD5"/>
    <w:rsid w:val="00B1447C"/>
    <w:rsid w:val="00B152AF"/>
    <w:rsid w:val="00B1734A"/>
    <w:rsid w:val="00B17A0E"/>
    <w:rsid w:val="00B20E1F"/>
    <w:rsid w:val="00B210BA"/>
    <w:rsid w:val="00B21815"/>
    <w:rsid w:val="00B226C5"/>
    <w:rsid w:val="00B22810"/>
    <w:rsid w:val="00B259CD"/>
    <w:rsid w:val="00B33930"/>
    <w:rsid w:val="00B3639F"/>
    <w:rsid w:val="00B37C65"/>
    <w:rsid w:val="00B37E5C"/>
    <w:rsid w:val="00B4277A"/>
    <w:rsid w:val="00B44201"/>
    <w:rsid w:val="00B45345"/>
    <w:rsid w:val="00B46D1B"/>
    <w:rsid w:val="00B506D3"/>
    <w:rsid w:val="00B50A11"/>
    <w:rsid w:val="00B53D5A"/>
    <w:rsid w:val="00B54C2D"/>
    <w:rsid w:val="00B61F7F"/>
    <w:rsid w:val="00B633C3"/>
    <w:rsid w:val="00B64C88"/>
    <w:rsid w:val="00B67236"/>
    <w:rsid w:val="00B70F1A"/>
    <w:rsid w:val="00B74C81"/>
    <w:rsid w:val="00B75A8E"/>
    <w:rsid w:val="00B766C3"/>
    <w:rsid w:val="00B77312"/>
    <w:rsid w:val="00B77C0A"/>
    <w:rsid w:val="00B81339"/>
    <w:rsid w:val="00B829E5"/>
    <w:rsid w:val="00B84907"/>
    <w:rsid w:val="00B8531B"/>
    <w:rsid w:val="00B85509"/>
    <w:rsid w:val="00B865F1"/>
    <w:rsid w:val="00B87FE1"/>
    <w:rsid w:val="00B9033C"/>
    <w:rsid w:val="00B90D61"/>
    <w:rsid w:val="00B93B1F"/>
    <w:rsid w:val="00B93F1A"/>
    <w:rsid w:val="00B97C0D"/>
    <w:rsid w:val="00B97EED"/>
    <w:rsid w:val="00B97F0A"/>
    <w:rsid w:val="00BA0BC0"/>
    <w:rsid w:val="00BA2117"/>
    <w:rsid w:val="00BA440D"/>
    <w:rsid w:val="00BA4B77"/>
    <w:rsid w:val="00BA5928"/>
    <w:rsid w:val="00BA7795"/>
    <w:rsid w:val="00BB579C"/>
    <w:rsid w:val="00BB702F"/>
    <w:rsid w:val="00BB72AB"/>
    <w:rsid w:val="00BC4423"/>
    <w:rsid w:val="00BC48F3"/>
    <w:rsid w:val="00BC5E8E"/>
    <w:rsid w:val="00BC6B49"/>
    <w:rsid w:val="00BC6F45"/>
    <w:rsid w:val="00BC719D"/>
    <w:rsid w:val="00BC777C"/>
    <w:rsid w:val="00BD1695"/>
    <w:rsid w:val="00BD3061"/>
    <w:rsid w:val="00BE00A9"/>
    <w:rsid w:val="00BE100F"/>
    <w:rsid w:val="00BE1269"/>
    <w:rsid w:val="00BE208B"/>
    <w:rsid w:val="00BE38F7"/>
    <w:rsid w:val="00BE4B49"/>
    <w:rsid w:val="00BE6801"/>
    <w:rsid w:val="00BF51D1"/>
    <w:rsid w:val="00BF5509"/>
    <w:rsid w:val="00BF5D4D"/>
    <w:rsid w:val="00BF77AF"/>
    <w:rsid w:val="00C0039C"/>
    <w:rsid w:val="00C00CD0"/>
    <w:rsid w:val="00C0291B"/>
    <w:rsid w:val="00C04CD1"/>
    <w:rsid w:val="00C05740"/>
    <w:rsid w:val="00C06770"/>
    <w:rsid w:val="00C07190"/>
    <w:rsid w:val="00C12BA7"/>
    <w:rsid w:val="00C13D86"/>
    <w:rsid w:val="00C15281"/>
    <w:rsid w:val="00C16168"/>
    <w:rsid w:val="00C16BC5"/>
    <w:rsid w:val="00C16E93"/>
    <w:rsid w:val="00C2007C"/>
    <w:rsid w:val="00C22C2F"/>
    <w:rsid w:val="00C23FCB"/>
    <w:rsid w:val="00C30F2C"/>
    <w:rsid w:val="00C31A37"/>
    <w:rsid w:val="00C37F6A"/>
    <w:rsid w:val="00C404AF"/>
    <w:rsid w:val="00C40B53"/>
    <w:rsid w:val="00C4131B"/>
    <w:rsid w:val="00C42412"/>
    <w:rsid w:val="00C43186"/>
    <w:rsid w:val="00C46BF3"/>
    <w:rsid w:val="00C52F30"/>
    <w:rsid w:val="00C5408C"/>
    <w:rsid w:val="00C5426F"/>
    <w:rsid w:val="00C56033"/>
    <w:rsid w:val="00C5665E"/>
    <w:rsid w:val="00C570BE"/>
    <w:rsid w:val="00C62FF5"/>
    <w:rsid w:val="00C63563"/>
    <w:rsid w:val="00C649E3"/>
    <w:rsid w:val="00C660C4"/>
    <w:rsid w:val="00C73DA2"/>
    <w:rsid w:val="00C74230"/>
    <w:rsid w:val="00C80CC8"/>
    <w:rsid w:val="00C81FA2"/>
    <w:rsid w:val="00C845D4"/>
    <w:rsid w:val="00C907A3"/>
    <w:rsid w:val="00C91DB7"/>
    <w:rsid w:val="00C92427"/>
    <w:rsid w:val="00C94930"/>
    <w:rsid w:val="00C9612E"/>
    <w:rsid w:val="00CA1A95"/>
    <w:rsid w:val="00CA3730"/>
    <w:rsid w:val="00CA396D"/>
    <w:rsid w:val="00CA42AE"/>
    <w:rsid w:val="00CA4F7D"/>
    <w:rsid w:val="00CB01B4"/>
    <w:rsid w:val="00CB2915"/>
    <w:rsid w:val="00CB2DA3"/>
    <w:rsid w:val="00CB32BC"/>
    <w:rsid w:val="00CB6145"/>
    <w:rsid w:val="00CC44C3"/>
    <w:rsid w:val="00CC65E7"/>
    <w:rsid w:val="00CC7887"/>
    <w:rsid w:val="00CD382D"/>
    <w:rsid w:val="00CD4C69"/>
    <w:rsid w:val="00CE1C2E"/>
    <w:rsid w:val="00CE2B52"/>
    <w:rsid w:val="00CE3F80"/>
    <w:rsid w:val="00CE6460"/>
    <w:rsid w:val="00CF009B"/>
    <w:rsid w:val="00CF4685"/>
    <w:rsid w:val="00CF5685"/>
    <w:rsid w:val="00CF597C"/>
    <w:rsid w:val="00CF62C0"/>
    <w:rsid w:val="00D00427"/>
    <w:rsid w:val="00D01BA6"/>
    <w:rsid w:val="00D02C4A"/>
    <w:rsid w:val="00D02F9B"/>
    <w:rsid w:val="00D03971"/>
    <w:rsid w:val="00D06B71"/>
    <w:rsid w:val="00D15E5F"/>
    <w:rsid w:val="00D16781"/>
    <w:rsid w:val="00D1760A"/>
    <w:rsid w:val="00D2064B"/>
    <w:rsid w:val="00D214EF"/>
    <w:rsid w:val="00D21F83"/>
    <w:rsid w:val="00D25A37"/>
    <w:rsid w:val="00D262C0"/>
    <w:rsid w:val="00D27847"/>
    <w:rsid w:val="00D306AD"/>
    <w:rsid w:val="00D31996"/>
    <w:rsid w:val="00D31A86"/>
    <w:rsid w:val="00D34C21"/>
    <w:rsid w:val="00D36733"/>
    <w:rsid w:val="00D37523"/>
    <w:rsid w:val="00D40E75"/>
    <w:rsid w:val="00D422D1"/>
    <w:rsid w:val="00D438B8"/>
    <w:rsid w:val="00D51372"/>
    <w:rsid w:val="00D53DAC"/>
    <w:rsid w:val="00D5767D"/>
    <w:rsid w:val="00D57691"/>
    <w:rsid w:val="00D57A77"/>
    <w:rsid w:val="00D60071"/>
    <w:rsid w:val="00D648E2"/>
    <w:rsid w:val="00D65596"/>
    <w:rsid w:val="00D70359"/>
    <w:rsid w:val="00D70EB7"/>
    <w:rsid w:val="00D71B08"/>
    <w:rsid w:val="00D72997"/>
    <w:rsid w:val="00D73983"/>
    <w:rsid w:val="00D73BE8"/>
    <w:rsid w:val="00D75469"/>
    <w:rsid w:val="00D75E83"/>
    <w:rsid w:val="00D76689"/>
    <w:rsid w:val="00D76A77"/>
    <w:rsid w:val="00D77363"/>
    <w:rsid w:val="00D83C72"/>
    <w:rsid w:val="00D841E2"/>
    <w:rsid w:val="00D85B20"/>
    <w:rsid w:val="00D85C9C"/>
    <w:rsid w:val="00D85E0E"/>
    <w:rsid w:val="00D90877"/>
    <w:rsid w:val="00D92782"/>
    <w:rsid w:val="00D9300C"/>
    <w:rsid w:val="00D94305"/>
    <w:rsid w:val="00D95D24"/>
    <w:rsid w:val="00D9621A"/>
    <w:rsid w:val="00DA10C4"/>
    <w:rsid w:val="00DA2C97"/>
    <w:rsid w:val="00DA3FD6"/>
    <w:rsid w:val="00DA67C8"/>
    <w:rsid w:val="00DB1A74"/>
    <w:rsid w:val="00DB1B87"/>
    <w:rsid w:val="00DB469C"/>
    <w:rsid w:val="00DC1D35"/>
    <w:rsid w:val="00DC1EB3"/>
    <w:rsid w:val="00DC5774"/>
    <w:rsid w:val="00DC63D7"/>
    <w:rsid w:val="00DD15FA"/>
    <w:rsid w:val="00DD3C46"/>
    <w:rsid w:val="00DD6051"/>
    <w:rsid w:val="00DE4B6B"/>
    <w:rsid w:val="00DF1391"/>
    <w:rsid w:val="00E0056E"/>
    <w:rsid w:val="00E0216A"/>
    <w:rsid w:val="00E02CDB"/>
    <w:rsid w:val="00E039CD"/>
    <w:rsid w:val="00E06ACC"/>
    <w:rsid w:val="00E10375"/>
    <w:rsid w:val="00E13FF0"/>
    <w:rsid w:val="00E16014"/>
    <w:rsid w:val="00E17309"/>
    <w:rsid w:val="00E2621F"/>
    <w:rsid w:val="00E41410"/>
    <w:rsid w:val="00E41CAD"/>
    <w:rsid w:val="00E4258E"/>
    <w:rsid w:val="00E44D46"/>
    <w:rsid w:val="00E4646D"/>
    <w:rsid w:val="00E52EA0"/>
    <w:rsid w:val="00E56C5A"/>
    <w:rsid w:val="00E61EDA"/>
    <w:rsid w:val="00E6232A"/>
    <w:rsid w:val="00E657BF"/>
    <w:rsid w:val="00E712BA"/>
    <w:rsid w:val="00E7345A"/>
    <w:rsid w:val="00E736D0"/>
    <w:rsid w:val="00E73FAC"/>
    <w:rsid w:val="00E74CB6"/>
    <w:rsid w:val="00E76A0D"/>
    <w:rsid w:val="00E775C6"/>
    <w:rsid w:val="00E77A0E"/>
    <w:rsid w:val="00E83715"/>
    <w:rsid w:val="00E858B5"/>
    <w:rsid w:val="00E86F24"/>
    <w:rsid w:val="00E874B8"/>
    <w:rsid w:val="00E90C70"/>
    <w:rsid w:val="00E91B86"/>
    <w:rsid w:val="00E9231B"/>
    <w:rsid w:val="00E9277D"/>
    <w:rsid w:val="00E9460F"/>
    <w:rsid w:val="00E94A1C"/>
    <w:rsid w:val="00EA114A"/>
    <w:rsid w:val="00EA1B7A"/>
    <w:rsid w:val="00EA2130"/>
    <w:rsid w:val="00EA58D5"/>
    <w:rsid w:val="00EB05BF"/>
    <w:rsid w:val="00EB06DC"/>
    <w:rsid w:val="00EB1576"/>
    <w:rsid w:val="00EB1870"/>
    <w:rsid w:val="00EB1CC9"/>
    <w:rsid w:val="00EB403E"/>
    <w:rsid w:val="00EB482E"/>
    <w:rsid w:val="00EC00A4"/>
    <w:rsid w:val="00EC0927"/>
    <w:rsid w:val="00EC3F78"/>
    <w:rsid w:val="00EC462D"/>
    <w:rsid w:val="00EC46A8"/>
    <w:rsid w:val="00EC4AF9"/>
    <w:rsid w:val="00EC52F8"/>
    <w:rsid w:val="00ED0814"/>
    <w:rsid w:val="00ED26AB"/>
    <w:rsid w:val="00ED4928"/>
    <w:rsid w:val="00ED6021"/>
    <w:rsid w:val="00ED6903"/>
    <w:rsid w:val="00ED7448"/>
    <w:rsid w:val="00ED7629"/>
    <w:rsid w:val="00ED76BD"/>
    <w:rsid w:val="00ED7855"/>
    <w:rsid w:val="00ED7BDC"/>
    <w:rsid w:val="00EE0CC4"/>
    <w:rsid w:val="00EE14B8"/>
    <w:rsid w:val="00EE20A8"/>
    <w:rsid w:val="00EE4019"/>
    <w:rsid w:val="00EE526D"/>
    <w:rsid w:val="00EE65B4"/>
    <w:rsid w:val="00EE70BD"/>
    <w:rsid w:val="00EF11AE"/>
    <w:rsid w:val="00EF138C"/>
    <w:rsid w:val="00EF1E76"/>
    <w:rsid w:val="00EF307B"/>
    <w:rsid w:val="00EF44B9"/>
    <w:rsid w:val="00EF6990"/>
    <w:rsid w:val="00EF6FE1"/>
    <w:rsid w:val="00EF76FD"/>
    <w:rsid w:val="00F02C4A"/>
    <w:rsid w:val="00F07FBE"/>
    <w:rsid w:val="00F120BD"/>
    <w:rsid w:val="00F14B17"/>
    <w:rsid w:val="00F16E7C"/>
    <w:rsid w:val="00F24B46"/>
    <w:rsid w:val="00F25AE1"/>
    <w:rsid w:val="00F25B34"/>
    <w:rsid w:val="00F3786E"/>
    <w:rsid w:val="00F4048D"/>
    <w:rsid w:val="00F41FC6"/>
    <w:rsid w:val="00F51C6B"/>
    <w:rsid w:val="00F53461"/>
    <w:rsid w:val="00F53A11"/>
    <w:rsid w:val="00F54C03"/>
    <w:rsid w:val="00F56406"/>
    <w:rsid w:val="00F60747"/>
    <w:rsid w:val="00F61B69"/>
    <w:rsid w:val="00F63593"/>
    <w:rsid w:val="00F6413A"/>
    <w:rsid w:val="00F647D5"/>
    <w:rsid w:val="00F662BB"/>
    <w:rsid w:val="00F7619F"/>
    <w:rsid w:val="00F778C1"/>
    <w:rsid w:val="00F8055D"/>
    <w:rsid w:val="00F83261"/>
    <w:rsid w:val="00F8472F"/>
    <w:rsid w:val="00F859F5"/>
    <w:rsid w:val="00F9404F"/>
    <w:rsid w:val="00FA0BBF"/>
    <w:rsid w:val="00FA2DFF"/>
    <w:rsid w:val="00FA2ED1"/>
    <w:rsid w:val="00FA67C7"/>
    <w:rsid w:val="00FB2A3B"/>
    <w:rsid w:val="00FB36D1"/>
    <w:rsid w:val="00FB3E6B"/>
    <w:rsid w:val="00FB5026"/>
    <w:rsid w:val="00FC13BB"/>
    <w:rsid w:val="00FC2E82"/>
    <w:rsid w:val="00FC375F"/>
    <w:rsid w:val="00FC5C61"/>
    <w:rsid w:val="00FC6D23"/>
    <w:rsid w:val="00FC79DE"/>
    <w:rsid w:val="00FC7DCB"/>
    <w:rsid w:val="00FD0487"/>
    <w:rsid w:val="00FD0E87"/>
    <w:rsid w:val="00FD1740"/>
    <w:rsid w:val="00FD187A"/>
    <w:rsid w:val="00FD254E"/>
    <w:rsid w:val="00FD3B43"/>
    <w:rsid w:val="00FD5B68"/>
    <w:rsid w:val="00FE1D26"/>
    <w:rsid w:val="00FE2B5C"/>
    <w:rsid w:val="00FF1497"/>
    <w:rsid w:val="00FF2667"/>
    <w:rsid w:val="00FF371D"/>
    <w:rsid w:val="00FF37C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D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E8"/>
    <w:pPr>
      <w:spacing w:line="288" w:lineRule="auto"/>
    </w:pPr>
  </w:style>
  <w:style w:type="paragraph" w:styleId="Heading1">
    <w:name w:val="heading 1"/>
    <w:next w:val="BodyText"/>
    <w:link w:val="Heading1Char"/>
    <w:uiPriority w:val="1"/>
    <w:qFormat/>
    <w:rsid w:val="00AA1DA2"/>
    <w:pPr>
      <w:keepNext/>
      <w:pageBreakBefore/>
      <w:spacing w:before="480" w:after="120" w:line="276" w:lineRule="auto"/>
      <w:outlineLvl w:val="0"/>
    </w:pPr>
    <w:rPr>
      <w:rFonts w:eastAsia="MS Gothic"/>
      <w:b/>
      <w:bCs/>
      <w:noProof/>
      <w:sz w:val="32"/>
      <w:szCs w:val="32"/>
      <w:lang w:eastAsia="en-US"/>
    </w:rPr>
  </w:style>
  <w:style w:type="paragraph" w:styleId="Heading2">
    <w:name w:val="heading 2"/>
    <w:next w:val="BodyText"/>
    <w:link w:val="Heading2Char"/>
    <w:uiPriority w:val="1"/>
    <w:qFormat/>
    <w:rsid w:val="00AA1DA2"/>
    <w:pPr>
      <w:keepNext/>
      <w:spacing w:before="240" w:after="120"/>
      <w:outlineLvl w:val="1"/>
    </w:pPr>
    <w:rPr>
      <w:rFonts w:eastAsia="MS Gothic"/>
      <w:b/>
      <w:bCs/>
      <w:noProof/>
      <w:sz w:val="26"/>
      <w:szCs w:val="26"/>
      <w:lang w:eastAsia="en-US"/>
    </w:rPr>
  </w:style>
  <w:style w:type="paragraph" w:styleId="Heading3">
    <w:name w:val="heading 3"/>
    <w:basedOn w:val="Heading2"/>
    <w:next w:val="BodyText"/>
    <w:link w:val="Heading3Char"/>
    <w:uiPriority w:val="1"/>
    <w:qFormat/>
    <w:rsid w:val="001261B4"/>
    <w:pPr>
      <w:keepLines/>
      <w:spacing w:before="280" w:after="200"/>
      <w:outlineLvl w:val="2"/>
    </w:pPr>
    <w:rPr>
      <w:bCs w:val="0"/>
      <w:sz w:val="22"/>
    </w:rPr>
  </w:style>
  <w:style w:type="paragraph" w:styleId="Heading4">
    <w:name w:val="heading 4"/>
    <w:basedOn w:val="Heading3"/>
    <w:next w:val="BodyText"/>
    <w:link w:val="Heading4Char"/>
    <w:uiPriority w:val="1"/>
    <w:qFormat/>
    <w:rsid w:val="00D92782"/>
    <w:pPr>
      <w:spacing w:before="200"/>
      <w:outlineLvl w:val="3"/>
    </w:pPr>
    <w:rPr>
      <w:rFonts w:eastAsia="MS Mincho"/>
      <w:bCs/>
      <w:sz w:val="20"/>
      <w:szCs w:val="28"/>
    </w:rPr>
  </w:style>
  <w:style w:type="paragraph" w:styleId="Heading5">
    <w:name w:val="heading 5"/>
    <w:basedOn w:val="Normal"/>
    <w:next w:val="Normal"/>
    <w:link w:val="Heading5Char"/>
    <w:uiPriority w:val="1"/>
    <w:qFormat/>
    <w:rsid w:val="001261B4"/>
    <w:pPr>
      <w:spacing w:before="240" w:after="60"/>
      <w:outlineLvl w:val="4"/>
    </w:pPr>
    <w:rPr>
      <w:b/>
      <w:bCs/>
      <w:iCs/>
      <w:szCs w:val="26"/>
    </w:rPr>
  </w:style>
  <w:style w:type="paragraph" w:styleId="Heading6">
    <w:name w:val="heading 6"/>
    <w:basedOn w:val="Normal"/>
    <w:next w:val="Normal"/>
    <w:link w:val="Heading6Char"/>
    <w:uiPriority w:val="1"/>
    <w:qFormat/>
    <w:rsid w:val="00675B7B"/>
    <w:pPr>
      <w:spacing w:before="240" w:after="60"/>
      <w:outlineLvl w:val="5"/>
    </w:pPr>
    <w:rPr>
      <w:b/>
      <w:bCs/>
      <w:szCs w:val="22"/>
    </w:rPr>
  </w:style>
  <w:style w:type="paragraph" w:styleId="Heading7">
    <w:name w:val="heading 7"/>
    <w:basedOn w:val="Normal"/>
    <w:next w:val="Normal"/>
    <w:link w:val="Heading7Char"/>
    <w:uiPriority w:val="1"/>
    <w:qFormat/>
    <w:rsid w:val="001261B4"/>
    <w:pPr>
      <w:spacing w:before="240" w:after="60"/>
      <w:outlineLvl w:val="6"/>
    </w:pPr>
    <w:rPr>
      <w:b/>
    </w:rPr>
  </w:style>
  <w:style w:type="paragraph" w:styleId="Heading8">
    <w:name w:val="heading 8"/>
    <w:basedOn w:val="Normal"/>
    <w:link w:val="Heading8Char"/>
    <w:uiPriority w:val="1"/>
    <w:qFormat/>
    <w:rsid w:val="00B75A8E"/>
    <w:pPr>
      <w:widowControl w:val="0"/>
      <w:spacing w:line="240" w:lineRule="auto"/>
      <w:ind w:left="114"/>
      <w:outlineLvl w:val="7"/>
    </w:pPr>
    <w:rPr>
      <w:rFonts w:ascii="Calibri" w:eastAsia="Calibri" w:hAnsi="Calibri"/>
      <w:sz w:val="52"/>
      <w:szCs w:val="52"/>
      <w:lang w:val="en-US" w:eastAsia="en-US"/>
    </w:rPr>
  </w:style>
  <w:style w:type="paragraph" w:styleId="Heading9">
    <w:name w:val="heading 9"/>
    <w:basedOn w:val="Normal"/>
    <w:link w:val="Heading9Char"/>
    <w:uiPriority w:val="1"/>
    <w:qFormat/>
    <w:rsid w:val="00B75A8E"/>
    <w:pPr>
      <w:widowControl w:val="0"/>
      <w:spacing w:before="8" w:line="240" w:lineRule="auto"/>
      <w:ind w:left="100"/>
      <w:outlineLvl w:val="8"/>
    </w:pPr>
    <w:rPr>
      <w:rFonts w:ascii="Calibri" w:eastAsia="Calibri" w:hAnsi="Calibri"/>
      <w:b/>
      <w:bCs/>
      <w:sz w:val="50"/>
      <w:szCs w:val="5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A1DA2"/>
    <w:rPr>
      <w:rFonts w:eastAsia="MS Gothic"/>
      <w:b/>
      <w:bCs/>
      <w:noProof/>
      <w:sz w:val="32"/>
      <w:szCs w:val="32"/>
      <w:lang w:eastAsia="en-US"/>
    </w:rPr>
  </w:style>
  <w:style w:type="character" w:customStyle="1" w:styleId="Heading2Char">
    <w:name w:val="Heading 2 Char"/>
    <w:link w:val="Heading2"/>
    <w:uiPriority w:val="1"/>
    <w:rsid w:val="00AA1DA2"/>
    <w:rPr>
      <w:rFonts w:eastAsia="MS Gothic"/>
      <w:b/>
      <w:bCs/>
      <w:noProof/>
      <w:sz w:val="26"/>
      <w:szCs w:val="26"/>
      <w:lang w:eastAsia="en-US"/>
    </w:rPr>
  </w:style>
  <w:style w:type="character" w:customStyle="1" w:styleId="Heading3Char">
    <w:name w:val="Heading 3 Char"/>
    <w:link w:val="Heading3"/>
    <w:uiPriority w:val="1"/>
    <w:rsid w:val="001261B4"/>
    <w:rPr>
      <w:rFonts w:eastAsia="MS Gothic"/>
      <w:b/>
      <w:sz w:val="22"/>
      <w:szCs w:val="26"/>
      <w:lang w:val="en-AU"/>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090557"/>
    <w:pPr>
      <w:tabs>
        <w:tab w:val="center" w:pos="4320"/>
        <w:tab w:val="right" w:pos="8640"/>
      </w:tabs>
      <w:spacing w:line="240" w:lineRule="auto"/>
      <w:jc w:val="right"/>
    </w:pPr>
    <w:rPr>
      <w:noProof/>
      <w:sz w:val="18"/>
    </w:rPr>
  </w:style>
  <w:style w:type="character" w:customStyle="1" w:styleId="FooterChar">
    <w:name w:val="Footer Char"/>
    <w:link w:val="Footer"/>
    <w:uiPriority w:val="99"/>
    <w:rsid w:val="00090557"/>
    <w:rPr>
      <w:noProof/>
      <w:sz w:val="18"/>
    </w:rPr>
  </w:style>
  <w:style w:type="table" w:styleId="TableGrid">
    <w:name w:val="Table Grid"/>
    <w:basedOn w:val="TableNormal"/>
    <w:uiPriority w:val="39"/>
    <w:rsid w:val="00AF5B9B"/>
    <w:pPr>
      <w:spacing w:before="60"/>
    </w:pPr>
    <w:rPr>
      <w:rFonts w:eastAsia="Cambria"/>
      <w:sz w:val="18"/>
      <w:szCs w:val="22"/>
    </w:rPr>
    <w:tblPr>
      <w:tblBorders>
        <w:top w:val="single" w:sz="4" w:space="0" w:color="auto"/>
        <w:bottom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left"/>
      </w:pPr>
      <w:rPr>
        <w:rFonts w:ascii="Arial" w:hAnsi="Arial"/>
        <w:b/>
      </w:rPr>
      <w:tblPr/>
      <w:tcPr>
        <w:tcBorders>
          <w:top w:val="single" w:sz="4" w:space="0" w:color="auto"/>
          <w:left w:val="nil"/>
          <w:bottom w:val="single" w:sz="4" w:space="0" w:color="auto"/>
          <w:right w:val="nil"/>
          <w:insideH w:val="nil"/>
          <w:insideV w:val="single" w:sz="4" w:space="0" w:color="auto"/>
          <w:tl2br w:val="nil"/>
          <w:tr2bl w:val="nil"/>
        </w:tcBorders>
      </w:tcPr>
    </w:tblStyle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rsid w:val="00B50A11"/>
    <w:pPr>
      <w:spacing w:after="480"/>
      <w:outlineLvl w:val="9"/>
    </w:pPr>
    <w:rPr>
      <w:bCs w:val="0"/>
    </w:rPr>
  </w:style>
  <w:style w:type="paragraph" w:styleId="TOC1">
    <w:name w:val="toc 1"/>
    <w:basedOn w:val="Normal"/>
    <w:next w:val="Normal"/>
    <w:autoRedefine/>
    <w:uiPriority w:val="39"/>
    <w:qFormat/>
    <w:rsid w:val="0082465C"/>
    <w:pPr>
      <w:tabs>
        <w:tab w:val="left" w:leader="dot" w:pos="567"/>
        <w:tab w:val="right" w:leader="dot" w:pos="9622"/>
      </w:tabs>
      <w:spacing w:before="60" w:after="100" w:line="276" w:lineRule="auto"/>
    </w:pPr>
    <w:rPr>
      <w:rFonts w:ascii="Arial Bold" w:hAnsi="Arial Bold"/>
      <w:noProof/>
    </w:r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uiPriority w:val="99"/>
    <w:qFormat/>
    <w:rsid w:val="00D95D24"/>
    <w:pPr>
      <w:numPr>
        <w:numId w:val="1"/>
      </w:numPr>
      <w:spacing w:before="60" w:after="60"/>
    </w:pPr>
  </w:style>
  <w:style w:type="paragraph" w:styleId="EndnoteText">
    <w:name w:val="endnote text"/>
    <w:basedOn w:val="Normal"/>
    <w:link w:val="EndnoteTextChar"/>
    <w:rsid w:val="00EF11AE"/>
    <w:pPr>
      <w:spacing w:after="40"/>
    </w:pPr>
    <w:rPr>
      <w:sz w:val="16"/>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line="240" w:lineRule="auto"/>
    </w:pPr>
    <w:rPr>
      <w:sz w:val="16"/>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B105EF"/>
    <w:pPr>
      <w:numPr>
        <w:numId w:val="3"/>
      </w:numPr>
      <w:spacing w:before="200" w:after="200"/>
    </w:pPr>
  </w:style>
  <w:style w:type="paragraph" w:styleId="ListNumber2">
    <w:name w:val="List Number 2"/>
    <w:basedOn w:val="ListNumber"/>
    <w:rsid w:val="00B105EF"/>
    <w:pPr>
      <w:numPr>
        <w:ilvl w:val="1"/>
      </w:numPr>
      <w:spacing w:before="0" w:after="0"/>
    </w:pPr>
  </w:style>
  <w:style w:type="paragraph" w:styleId="TableofFigures">
    <w:name w:val="table of figures"/>
    <w:basedOn w:val="Normal"/>
    <w:link w:val="TableofFiguresChar"/>
    <w:rsid w:val="00493E0A"/>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D95D24"/>
    <w:pPr>
      <w:numPr>
        <w:ilvl w:val="1"/>
        <w:numId w:val="1"/>
      </w:numPr>
      <w:spacing w:before="60" w:after="60"/>
    </w:pPr>
  </w:style>
  <w:style w:type="paragraph" w:styleId="ListParagraph">
    <w:name w:val="List Paragraph"/>
    <w:basedOn w:val="Normal"/>
    <w:uiPriority w:val="1"/>
    <w:qFormat/>
    <w:rsid w:val="0073401D"/>
    <w:pPr>
      <w:contextualSpacing/>
    </w:pPr>
  </w:style>
  <w:style w:type="paragraph" w:styleId="ListBullet3">
    <w:name w:val="List Bullet 3"/>
    <w:basedOn w:val="Normal"/>
    <w:rsid w:val="00D95D24"/>
    <w:pPr>
      <w:numPr>
        <w:ilvl w:val="2"/>
        <w:numId w:val="1"/>
      </w:numPr>
      <w:spacing w:before="60" w:after="60"/>
    </w:pPr>
  </w:style>
  <w:style w:type="paragraph" w:styleId="ListBullet4">
    <w:name w:val="List Bullet 4"/>
    <w:basedOn w:val="Normal"/>
    <w:rsid w:val="00D95D24"/>
    <w:pPr>
      <w:numPr>
        <w:ilvl w:val="3"/>
        <w:numId w:val="1"/>
      </w:numPr>
      <w:spacing w:before="60" w:after="60"/>
      <w:ind w:left="1429"/>
    </w:pPr>
  </w:style>
  <w:style w:type="paragraph" w:styleId="ListBullet5">
    <w:name w:val="List Bullet 5"/>
    <w:basedOn w:val="Normal"/>
    <w:rsid w:val="00D95D24"/>
    <w:pPr>
      <w:numPr>
        <w:ilvl w:val="4"/>
        <w:numId w:val="1"/>
      </w:numPr>
      <w:spacing w:before="60" w:after="60"/>
      <w:ind w:left="1786"/>
    </w:pPr>
  </w:style>
  <w:style w:type="paragraph" w:styleId="ListNumber3">
    <w:name w:val="List Number 3"/>
    <w:basedOn w:val="Normal"/>
    <w:rsid w:val="00D95D24"/>
    <w:pPr>
      <w:numPr>
        <w:ilvl w:val="2"/>
        <w:numId w:val="3"/>
      </w:numPr>
      <w:spacing w:after="200"/>
    </w:pPr>
  </w:style>
  <w:style w:type="paragraph" w:styleId="ListNumber4">
    <w:name w:val="List Number 4"/>
    <w:basedOn w:val="Normal"/>
    <w:rsid w:val="00D95D24"/>
    <w:pPr>
      <w:numPr>
        <w:ilvl w:val="3"/>
        <w:numId w:val="3"/>
      </w:numPr>
      <w:spacing w:after="20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D92782"/>
    <w:rPr>
      <w:rFonts w:ascii="Arial Bold" w:hAnsi="Arial Bold"/>
      <w:bCs/>
      <w:szCs w:val="28"/>
      <w:lang w:eastAsia="en-US"/>
    </w:rPr>
  </w:style>
  <w:style w:type="character" w:customStyle="1" w:styleId="Bold">
    <w:name w:val="Bold"/>
    <w:qFormat/>
    <w:rsid w:val="00B37C65"/>
    <w:rPr>
      <w:rFonts w:ascii="Arial" w:hAnsi="Arial"/>
      <w:b/>
    </w:rPr>
  </w:style>
  <w:style w:type="paragraph" w:styleId="TOC2">
    <w:name w:val="toc 2"/>
    <w:basedOn w:val="Normal"/>
    <w:next w:val="Normal"/>
    <w:autoRedefine/>
    <w:uiPriority w:val="39"/>
    <w:qFormat/>
    <w:rsid w:val="0082465C"/>
    <w:pPr>
      <w:tabs>
        <w:tab w:val="right" w:leader="dot" w:pos="9622"/>
      </w:tabs>
      <w:spacing w:after="100" w:line="276" w:lineRule="auto"/>
      <w:ind w:left="283"/>
    </w:pPr>
    <w:rPr>
      <w:color w:val="000000"/>
    </w:rPr>
  </w:style>
  <w:style w:type="paragraph" w:styleId="TOC3">
    <w:name w:val="toc 3"/>
    <w:basedOn w:val="Normal"/>
    <w:next w:val="Normal"/>
    <w:autoRedefine/>
    <w:uiPriority w:val="39"/>
    <w:qFormat/>
    <w:rsid w:val="00B50A11"/>
    <w:pPr>
      <w:tabs>
        <w:tab w:val="right" w:leader="dot" w:pos="9622"/>
      </w:tabs>
      <w:spacing w:after="120" w:line="276" w:lineRule="auto"/>
      <w:ind w:left="567"/>
    </w:pPr>
    <w:rPr>
      <w:noProof/>
      <w:color w:val="000000"/>
    </w:r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B50A11"/>
    <w:pPr>
      <w:tabs>
        <w:tab w:val="right" w:leader="dot" w:pos="9621"/>
      </w:tabs>
      <w:spacing w:after="120"/>
      <w:ind w:left="850"/>
    </w:pPr>
    <w:rPr>
      <w:noProof/>
      <w:color w:val="000000"/>
    </w:rPr>
  </w:style>
  <w:style w:type="character" w:customStyle="1" w:styleId="Heading5Char">
    <w:name w:val="Heading 5 Char"/>
    <w:link w:val="Heading5"/>
    <w:uiPriority w:val="1"/>
    <w:rsid w:val="001261B4"/>
    <w:rPr>
      <w:b/>
      <w:bCs/>
      <w:iCs/>
      <w:szCs w:val="26"/>
      <w:lang w:val="en-AU" w:eastAsia="en-AU"/>
    </w:rPr>
  </w:style>
  <w:style w:type="character" w:customStyle="1" w:styleId="Heading6Char">
    <w:name w:val="Heading 6 Char"/>
    <w:link w:val="Heading6"/>
    <w:uiPriority w:val="1"/>
    <w:rsid w:val="00675B7B"/>
    <w:rPr>
      <w:b/>
      <w:bCs/>
      <w:szCs w:val="22"/>
      <w:lang w:val="en-AU" w:eastAsia="en-AU"/>
    </w:rPr>
  </w:style>
  <w:style w:type="character" w:customStyle="1" w:styleId="Heading7Char">
    <w:name w:val="Heading 7 Char"/>
    <w:link w:val="Heading7"/>
    <w:uiPriority w:val="1"/>
    <w:rsid w:val="001261B4"/>
    <w:rPr>
      <w:b/>
      <w:lang w:val="en-AU" w:eastAsia="en-AU"/>
    </w:rPr>
  </w:style>
  <w:style w:type="paragraph" w:styleId="TOC5">
    <w:name w:val="toc 5"/>
    <w:basedOn w:val="Normal"/>
    <w:next w:val="Normal"/>
    <w:autoRedefine/>
    <w:uiPriority w:val="39"/>
    <w:rsid w:val="00B50A11"/>
    <w:pPr>
      <w:tabs>
        <w:tab w:val="right" w:leader="dot" w:pos="9621"/>
      </w:tabs>
      <w:spacing w:after="120"/>
      <w:ind w:left="1134"/>
    </w:pPr>
    <w:rPr>
      <w:noProof/>
      <w:color w:val="000000"/>
    </w:rPr>
  </w:style>
  <w:style w:type="paragraph" w:customStyle="1" w:styleId="PullBoxNumber">
    <w:name w:val="Pull Box Number"/>
    <w:basedOn w:val="PullBox"/>
    <w:qFormat/>
    <w:rsid w:val="00D92782"/>
    <w:pPr>
      <w:numPr>
        <w:ilvl w:val="6"/>
        <w:numId w:val="4"/>
      </w:numPr>
      <w:spacing w:after="120"/>
      <w:ind w:left="530"/>
    </w:pPr>
  </w:style>
  <w:style w:type="paragraph" w:styleId="Caption">
    <w:name w:val="caption"/>
    <w:basedOn w:val="Normal"/>
    <w:next w:val="Normal"/>
    <w:qFormat/>
    <w:rsid w:val="008932B0"/>
    <w:pPr>
      <w:keepNext/>
      <w:spacing w:before="240" w:after="120" w:line="240" w:lineRule="auto"/>
    </w:pPr>
    <w:rPr>
      <w:rFonts w:ascii="Arial Bold" w:hAnsi="Arial Bold"/>
      <w:bCs/>
      <w:sz w:val="18"/>
      <w:szCs w:val="18"/>
    </w:rPr>
  </w:style>
  <w:style w:type="paragraph" w:styleId="BodyText">
    <w:name w:val="Body Text"/>
    <w:basedOn w:val="Normal"/>
    <w:link w:val="BodyTextChar"/>
    <w:uiPriority w:val="1"/>
    <w:qFormat/>
    <w:rsid w:val="00AA1DA2"/>
    <w:pPr>
      <w:spacing w:before="120" w:after="200"/>
    </w:pPr>
    <w:rPr>
      <w:rFonts w:eastAsia="Cambria"/>
      <w:noProof/>
    </w:rPr>
  </w:style>
  <w:style w:type="character" w:customStyle="1" w:styleId="BodyTextChar">
    <w:name w:val="Body Text Char"/>
    <w:link w:val="BodyText"/>
    <w:uiPriority w:val="1"/>
    <w:rsid w:val="00AA1DA2"/>
    <w:rPr>
      <w:rFonts w:eastAsia="Cambria"/>
      <w:noProof/>
    </w:rPr>
  </w:style>
  <w:style w:type="character" w:customStyle="1" w:styleId="TableofFiguresChar">
    <w:name w:val="Table of Figures Char"/>
    <w:link w:val="TableofFigures"/>
    <w:rsid w:val="00AA15EF"/>
    <w:rPr>
      <w:rFonts w:ascii="Arial" w:hAnsi="Arial"/>
      <w:szCs w:val="24"/>
      <w:lang w:val="en-US" w:eastAsia="en-US"/>
    </w:rPr>
  </w:style>
  <w:style w:type="character" w:styleId="FollowedHyperlink">
    <w:name w:val="FollowedHyperlink"/>
    <w:uiPriority w:val="99"/>
    <w:semiHidden/>
    <w:unhideWhenUsed/>
    <w:rsid w:val="00BB72AB"/>
    <w:rPr>
      <w:color w:val="800080"/>
      <w:u w:val="single"/>
    </w:rPr>
  </w:style>
  <w:style w:type="paragraph" w:styleId="Title">
    <w:name w:val="Title"/>
    <w:basedOn w:val="Normal"/>
    <w:next w:val="Normal"/>
    <w:link w:val="TitleChar"/>
    <w:uiPriority w:val="99"/>
    <w:rsid w:val="001261B4"/>
    <w:pPr>
      <w:spacing w:line="240" w:lineRule="auto"/>
      <w:contextualSpacing/>
    </w:pPr>
    <w:rPr>
      <w:rFonts w:eastAsia="MS PGothic"/>
      <w:b/>
      <w:sz w:val="52"/>
      <w:szCs w:val="56"/>
    </w:rPr>
  </w:style>
  <w:style w:type="character" w:customStyle="1" w:styleId="TitleChar">
    <w:name w:val="Title Char"/>
    <w:link w:val="Title"/>
    <w:uiPriority w:val="99"/>
    <w:rsid w:val="001261B4"/>
    <w:rPr>
      <w:rFonts w:eastAsia="MS PGothic"/>
      <w:b/>
      <w:sz w:val="52"/>
      <w:szCs w:val="56"/>
      <w:lang w:val="en-AU" w:eastAsia="en-AU"/>
    </w:rPr>
  </w:style>
  <w:style w:type="paragraph" w:customStyle="1" w:styleId="PullBox">
    <w:name w:val="Pull Box"/>
    <w:basedOn w:val="BodyText"/>
    <w:qFormat/>
    <w:rsid w:val="00D92782"/>
    <w:pPr>
      <w:pBdr>
        <w:top w:val="single" w:sz="4" w:space="10" w:color="auto"/>
        <w:left w:val="single" w:sz="4" w:space="8" w:color="auto"/>
        <w:bottom w:val="single" w:sz="4" w:space="10" w:color="auto"/>
        <w:right w:val="single" w:sz="4" w:space="8" w:color="auto"/>
      </w:pBdr>
      <w:ind w:left="170" w:right="170"/>
    </w:pPr>
    <w:rPr>
      <w:lang w:eastAsia="en-US"/>
    </w:rPr>
  </w:style>
  <w:style w:type="paragraph" w:customStyle="1" w:styleId="PullBoxBullet">
    <w:name w:val="Pull Box Bullet"/>
    <w:basedOn w:val="PullBox"/>
    <w:qFormat/>
    <w:rsid w:val="00D92782"/>
    <w:pPr>
      <w:numPr>
        <w:numId w:val="5"/>
      </w:numPr>
      <w:spacing w:after="60"/>
      <w:ind w:left="530"/>
    </w:pPr>
  </w:style>
  <w:style w:type="paragraph" w:customStyle="1" w:styleId="PullBoxHeading">
    <w:name w:val="Pull Box Heading"/>
    <w:basedOn w:val="PullBox"/>
    <w:qFormat/>
    <w:rsid w:val="001261B4"/>
    <w:pPr>
      <w:spacing w:after="80"/>
    </w:pPr>
    <w:rPr>
      <w:b/>
    </w:rPr>
  </w:style>
  <w:style w:type="paragraph" w:styleId="Quote">
    <w:name w:val="Quote"/>
    <w:basedOn w:val="Normal"/>
    <w:next w:val="Normal"/>
    <w:link w:val="QuoteChar"/>
    <w:rsid w:val="00D92782"/>
    <w:pPr>
      <w:spacing w:before="200" w:after="200"/>
      <w:ind w:left="340" w:right="340"/>
    </w:pPr>
    <w:rPr>
      <w:i/>
      <w:iCs/>
    </w:rPr>
  </w:style>
  <w:style w:type="character" w:customStyle="1" w:styleId="QuoteChar">
    <w:name w:val="Quote Char"/>
    <w:link w:val="Quote"/>
    <w:rsid w:val="00D92782"/>
    <w:rPr>
      <w:rFonts w:ascii="Arial" w:hAnsi="Arial"/>
      <w:i/>
      <w:iCs/>
    </w:rPr>
  </w:style>
  <w:style w:type="paragraph" w:customStyle="1" w:styleId="TableBullet">
    <w:name w:val="Table Bullet"/>
    <w:basedOn w:val="Normal"/>
    <w:qFormat/>
    <w:rsid w:val="00965135"/>
    <w:pPr>
      <w:numPr>
        <w:numId w:val="6"/>
      </w:numPr>
      <w:spacing w:before="120" w:after="120" w:line="240" w:lineRule="auto"/>
    </w:pPr>
    <w:rPr>
      <w:rFonts w:eastAsia="Cambria"/>
      <w:szCs w:val="22"/>
      <w:lang w:eastAsia="en-US"/>
    </w:rPr>
  </w:style>
  <w:style w:type="paragraph" w:customStyle="1" w:styleId="TableBullet2">
    <w:name w:val="Table Bullet 2"/>
    <w:basedOn w:val="TableBullet"/>
    <w:qFormat/>
    <w:rsid w:val="00D92782"/>
    <w:pPr>
      <w:numPr>
        <w:ilvl w:val="1"/>
      </w:numPr>
    </w:pPr>
  </w:style>
  <w:style w:type="paragraph" w:customStyle="1" w:styleId="TableText">
    <w:name w:val="Table Text"/>
    <w:basedOn w:val="Normal"/>
    <w:link w:val="TableTextChar"/>
    <w:uiPriority w:val="14"/>
    <w:qFormat/>
    <w:rsid w:val="00200FC2"/>
    <w:pPr>
      <w:spacing w:before="120" w:after="120" w:line="240" w:lineRule="auto"/>
    </w:pPr>
    <w:rPr>
      <w:rFonts w:eastAsia="Cambria"/>
      <w:szCs w:val="22"/>
    </w:rPr>
  </w:style>
  <w:style w:type="table" w:styleId="PlainTable4">
    <w:name w:val="Plain Table 4"/>
    <w:basedOn w:val="TableNormal"/>
    <w:uiPriority w:val="44"/>
    <w:rsid w:val="006467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64673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rsid w:val="00CF5685"/>
    <w:pPr>
      <w:numPr>
        <w:ilvl w:val="1"/>
      </w:numPr>
      <w:spacing w:before="240" w:after="120" w:line="240" w:lineRule="auto"/>
    </w:pPr>
    <w:rPr>
      <w:rFonts w:eastAsia="MS PGothic"/>
      <w:sz w:val="40"/>
      <w:szCs w:val="22"/>
    </w:rPr>
  </w:style>
  <w:style w:type="character" w:customStyle="1" w:styleId="SubtitleChar">
    <w:name w:val="Subtitle Char"/>
    <w:link w:val="Subtitle"/>
    <w:rsid w:val="00CF5685"/>
    <w:rPr>
      <w:rFonts w:eastAsia="MS PGothic"/>
      <w:sz w:val="40"/>
      <w:szCs w:val="22"/>
    </w:rPr>
  </w:style>
  <w:style w:type="character" w:styleId="CommentReference">
    <w:name w:val="annotation reference"/>
    <w:uiPriority w:val="99"/>
    <w:semiHidden/>
    <w:unhideWhenUsed/>
    <w:rsid w:val="00EF6990"/>
    <w:rPr>
      <w:sz w:val="16"/>
      <w:szCs w:val="16"/>
    </w:rPr>
  </w:style>
  <w:style w:type="paragraph" w:styleId="CommentText">
    <w:name w:val="annotation text"/>
    <w:basedOn w:val="Normal"/>
    <w:link w:val="CommentTextChar"/>
    <w:semiHidden/>
    <w:unhideWhenUsed/>
    <w:rsid w:val="00EF6990"/>
    <w:pPr>
      <w:spacing w:line="240" w:lineRule="auto"/>
    </w:pPr>
  </w:style>
  <w:style w:type="character" w:customStyle="1" w:styleId="CommentTextChar">
    <w:name w:val="Comment Text Char"/>
    <w:basedOn w:val="DefaultParagraphFont"/>
    <w:link w:val="CommentText"/>
    <w:semiHidden/>
    <w:rsid w:val="00EF6990"/>
  </w:style>
  <w:style w:type="paragraph" w:styleId="CommentSubject">
    <w:name w:val="annotation subject"/>
    <w:basedOn w:val="CommentText"/>
    <w:next w:val="CommentText"/>
    <w:link w:val="CommentSubjectChar"/>
    <w:semiHidden/>
    <w:unhideWhenUsed/>
    <w:rsid w:val="00EF6990"/>
    <w:rPr>
      <w:b/>
      <w:bCs/>
    </w:rPr>
  </w:style>
  <w:style w:type="character" w:customStyle="1" w:styleId="CommentSubjectChar">
    <w:name w:val="Comment Subject Char"/>
    <w:link w:val="CommentSubject"/>
    <w:semiHidden/>
    <w:rsid w:val="00EF6990"/>
    <w:rPr>
      <w:b/>
      <w:bCs/>
    </w:rPr>
  </w:style>
  <w:style w:type="character" w:customStyle="1" w:styleId="TableTextChar">
    <w:name w:val="Table Text Char"/>
    <w:link w:val="TableText"/>
    <w:uiPriority w:val="14"/>
    <w:rsid w:val="00200FC2"/>
    <w:rPr>
      <w:rFonts w:eastAsia="Cambria"/>
      <w:szCs w:val="22"/>
    </w:rPr>
  </w:style>
  <w:style w:type="paragraph" w:styleId="TOC6">
    <w:name w:val="toc 6"/>
    <w:basedOn w:val="Normal"/>
    <w:next w:val="Normal"/>
    <w:autoRedefine/>
    <w:uiPriority w:val="39"/>
    <w:unhideWhenUsed/>
    <w:rsid w:val="00B50A11"/>
    <w:pPr>
      <w:tabs>
        <w:tab w:val="right" w:leader="dot" w:pos="9621"/>
      </w:tabs>
      <w:spacing w:after="100" w:line="259" w:lineRule="auto"/>
      <w:ind w:left="1417"/>
    </w:pPr>
    <w:rPr>
      <w:rFonts w:eastAsia="MS PGothic"/>
      <w:noProof/>
      <w:color w:val="000000"/>
      <w:sz w:val="18"/>
      <w:szCs w:val="18"/>
    </w:rPr>
  </w:style>
  <w:style w:type="paragraph" w:styleId="TOC7">
    <w:name w:val="toc 7"/>
    <w:basedOn w:val="Normal"/>
    <w:next w:val="Normal"/>
    <w:autoRedefine/>
    <w:uiPriority w:val="39"/>
    <w:unhideWhenUsed/>
    <w:rsid w:val="00B50A11"/>
    <w:pPr>
      <w:spacing w:after="100" w:line="259" w:lineRule="auto"/>
      <w:ind w:left="1320"/>
    </w:pPr>
    <w:rPr>
      <w:rFonts w:eastAsia="MS PGothic"/>
      <w:color w:val="000000"/>
      <w:sz w:val="22"/>
      <w:szCs w:val="22"/>
    </w:rPr>
  </w:style>
  <w:style w:type="paragraph" w:styleId="TOC8">
    <w:name w:val="toc 8"/>
    <w:basedOn w:val="Normal"/>
    <w:next w:val="Normal"/>
    <w:autoRedefine/>
    <w:uiPriority w:val="39"/>
    <w:unhideWhenUsed/>
    <w:rsid w:val="005E078B"/>
    <w:pPr>
      <w:spacing w:after="100" w:line="259" w:lineRule="auto"/>
      <w:ind w:left="1540"/>
    </w:pPr>
    <w:rPr>
      <w:rFonts w:eastAsia="MS PGothic"/>
      <w:sz w:val="22"/>
      <w:szCs w:val="22"/>
    </w:rPr>
  </w:style>
  <w:style w:type="paragraph" w:styleId="TOC9">
    <w:name w:val="toc 9"/>
    <w:basedOn w:val="Normal"/>
    <w:next w:val="Normal"/>
    <w:autoRedefine/>
    <w:uiPriority w:val="39"/>
    <w:unhideWhenUsed/>
    <w:rsid w:val="005E078B"/>
    <w:pPr>
      <w:spacing w:after="100" w:line="259" w:lineRule="auto"/>
      <w:ind w:left="1760"/>
    </w:pPr>
    <w:rPr>
      <w:rFonts w:eastAsia="MS PGothic"/>
      <w:sz w:val="22"/>
      <w:szCs w:val="22"/>
    </w:rPr>
  </w:style>
  <w:style w:type="paragraph" w:customStyle="1" w:styleId="GreyBox">
    <w:name w:val="Grey Box"/>
    <w:basedOn w:val="PullBox"/>
    <w:qFormat/>
    <w:rsid w:val="00A2352F"/>
    <w:pPr>
      <w:pBdr>
        <w:top w:val="single" w:sz="4" w:space="4" w:color="F2F2F2"/>
        <w:left w:val="single" w:sz="4" w:space="4" w:color="F2F2F2"/>
        <w:bottom w:val="single" w:sz="4" w:space="4" w:color="F2F2F2"/>
        <w:right w:val="single" w:sz="4" w:space="4" w:color="F2F2F2"/>
      </w:pBdr>
      <w:shd w:val="clear" w:color="auto" w:fill="F2F2F2"/>
      <w:ind w:left="57"/>
    </w:pPr>
  </w:style>
  <w:style w:type="paragraph" w:customStyle="1" w:styleId="TableParagraph">
    <w:name w:val="Table Paragraph"/>
    <w:basedOn w:val="Normal"/>
    <w:uiPriority w:val="1"/>
    <w:qFormat/>
    <w:rsid w:val="004446AD"/>
    <w:pPr>
      <w:widowControl w:val="0"/>
      <w:spacing w:line="240" w:lineRule="auto"/>
    </w:pPr>
    <w:rPr>
      <w:rFonts w:eastAsia="Arial"/>
      <w:sz w:val="22"/>
      <w:szCs w:val="22"/>
      <w:lang w:val="en-US" w:eastAsia="en-US"/>
    </w:rPr>
  </w:style>
  <w:style w:type="table" w:customStyle="1" w:styleId="Style1">
    <w:name w:val="Style1"/>
    <w:basedOn w:val="TableNormal"/>
    <w:uiPriority w:val="99"/>
    <w:rsid w:val="00CF009B"/>
    <w:pPr>
      <w:spacing w:before="20" w:after="20"/>
      <w:jc w:val="right"/>
    </w:pPr>
    <w:tblPr>
      <w:tblCellMar>
        <w:top w:w="45" w:type="dxa"/>
        <w:left w:w="28" w:type="dxa"/>
        <w:bottom w:w="45" w:type="dxa"/>
        <w:right w:w="28" w:type="dxa"/>
      </w:tblCellMar>
    </w:tblPr>
    <w:tcPr>
      <w:vAlign w:val="center"/>
    </w:tcPr>
    <w:tblStylePr w:type="firstRow">
      <w:rPr>
        <w:rFonts w:ascii="Arial" w:hAnsi="Arial"/>
        <w:b/>
      </w:rPr>
      <w:tblPr/>
      <w:trPr>
        <w:tblHeader/>
      </w:trPr>
      <w:tcPr>
        <w:tcBorders>
          <w:top w:val="nil"/>
          <w:left w:val="nil"/>
          <w:bottom w:val="single" w:sz="4" w:space="0" w:color="auto"/>
          <w:right w:val="nil"/>
          <w:insideH w:val="nil"/>
          <w:insideV w:val="nil"/>
          <w:tl2br w:val="nil"/>
          <w:tr2bl w:val="nil"/>
        </w:tcBorders>
      </w:tcPr>
    </w:tblStylePr>
    <w:tblStylePr w:type="firstCol">
      <w:pPr>
        <w:jc w:val="left"/>
      </w:pPr>
    </w:tblStylePr>
  </w:style>
  <w:style w:type="paragraph" w:customStyle="1" w:styleId="AlphaList">
    <w:name w:val="Alpha_List"/>
    <w:basedOn w:val="BodyText"/>
    <w:qFormat/>
    <w:rsid w:val="0031549B"/>
    <w:pPr>
      <w:numPr>
        <w:numId w:val="7"/>
      </w:numPr>
      <w:spacing w:after="120"/>
    </w:pPr>
  </w:style>
  <w:style w:type="paragraph" w:styleId="NoSpacing">
    <w:name w:val="No Spacing"/>
    <w:rsid w:val="005F1419"/>
  </w:style>
  <w:style w:type="paragraph" w:customStyle="1" w:styleId="HangingIndent">
    <w:name w:val="Hanging Indent"/>
    <w:basedOn w:val="Normal"/>
    <w:qFormat/>
    <w:rsid w:val="00B33930"/>
    <w:pPr>
      <w:tabs>
        <w:tab w:val="left" w:pos="284"/>
      </w:tabs>
      <w:ind w:left="284" w:hanging="284"/>
    </w:pPr>
    <w:rPr>
      <w:rFonts w:eastAsia="Cambria"/>
      <w:szCs w:val="22"/>
    </w:rPr>
  </w:style>
  <w:style w:type="paragraph" w:styleId="ListContinue">
    <w:name w:val="List Continue"/>
    <w:basedOn w:val="Normal"/>
    <w:unhideWhenUsed/>
    <w:rsid w:val="00503107"/>
    <w:pPr>
      <w:spacing w:after="120"/>
      <w:ind w:left="340"/>
      <w:contextualSpacing/>
    </w:pPr>
  </w:style>
  <w:style w:type="paragraph" w:styleId="Index1">
    <w:name w:val="index 1"/>
    <w:basedOn w:val="Normal"/>
    <w:next w:val="Normal"/>
    <w:autoRedefine/>
    <w:uiPriority w:val="99"/>
    <w:semiHidden/>
    <w:unhideWhenUsed/>
    <w:rsid w:val="00B45345"/>
    <w:pPr>
      <w:spacing w:line="240" w:lineRule="auto"/>
      <w:ind w:left="200" w:hanging="200"/>
    </w:pPr>
  </w:style>
  <w:style w:type="table" w:styleId="PlainTable2">
    <w:name w:val="Plain Table 2"/>
    <w:basedOn w:val="TableNormal"/>
    <w:uiPriority w:val="42"/>
    <w:rsid w:val="002269E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
    <w:name w:val="Heading 8 Char"/>
    <w:link w:val="Heading8"/>
    <w:uiPriority w:val="1"/>
    <w:rsid w:val="00B75A8E"/>
    <w:rPr>
      <w:rFonts w:ascii="Calibri" w:eastAsia="Calibri" w:hAnsi="Calibri"/>
      <w:sz w:val="52"/>
      <w:szCs w:val="52"/>
      <w:lang w:val="en-US" w:eastAsia="en-US"/>
    </w:rPr>
  </w:style>
  <w:style w:type="character" w:customStyle="1" w:styleId="Heading9Char">
    <w:name w:val="Heading 9 Char"/>
    <w:link w:val="Heading9"/>
    <w:uiPriority w:val="1"/>
    <w:rsid w:val="00B75A8E"/>
    <w:rPr>
      <w:rFonts w:ascii="Calibri" w:eastAsia="Calibri" w:hAnsi="Calibri"/>
      <w:b/>
      <w:bCs/>
      <w:sz w:val="50"/>
      <w:szCs w:val="50"/>
      <w:lang w:val="en-US" w:eastAsia="en-US"/>
    </w:rPr>
  </w:style>
  <w:style w:type="character" w:customStyle="1" w:styleId="HyperlinkFaux">
    <w:name w:val="Hyperlink Faux"/>
    <w:uiPriority w:val="1"/>
    <w:qFormat/>
    <w:rsid w:val="00314038"/>
    <w:rPr>
      <w:rFonts w:eastAsia="Cambria"/>
      <w:color w:val="0000FF"/>
      <w:sz w:val="18"/>
      <w:szCs w:val="22"/>
      <w:u w:val="single"/>
    </w:rPr>
  </w:style>
  <w:style w:type="character" w:customStyle="1" w:styleId="UnresolvedMention1">
    <w:name w:val="Unresolved Mention1"/>
    <w:uiPriority w:val="99"/>
    <w:semiHidden/>
    <w:unhideWhenUsed/>
    <w:rsid w:val="0020600A"/>
    <w:rPr>
      <w:color w:val="605E5C"/>
      <w:shd w:val="clear" w:color="auto" w:fill="E1DFDD"/>
    </w:rPr>
  </w:style>
  <w:style w:type="table" w:styleId="TableProfessional">
    <w:name w:val="Table Professional"/>
    <w:basedOn w:val="TableNormal"/>
    <w:rsid w:val="006C50AC"/>
    <w:pPr>
      <w:spacing w:before="20" w:after="20"/>
    </w:pPr>
    <w:rPr>
      <w:sz w:val="18"/>
    </w:rPr>
    <w:tblPr>
      <w:tblBorders>
        <w:top w:val="single" w:sz="6" w:space="0" w:color="000000"/>
        <w:bottom w:val="single" w:sz="6" w:space="0" w:color="000000"/>
        <w:insideH w:val="single" w:sz="6" w:space="0" w:color="000000"/>
      </w:tblBorders>
      <w:tblCellMar>
        <w:top w:w="45" w:type="dxa"/>
        <w:bottom w:w="28" w:type="dxa"/>
      </w:tblCellMar>
    </w:tblPr>
    <w:tcPr>
      <w:shd w:val="clear" w:color="auto" w:fill="auto"/>
    </w:tcPr>
    <w:tblStylePr w:type="firstRow">
      <w:rPr>
        <w:b/>
        <w:bCs/>
        <w:color w:val="auto"/>
      </w:rPr>
      <w:tblPr/>
      <w:trPr>
        <w:tblHeader/>
      </w:tr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947AB3"/>
    <w:rPr>
      <w:color w:val="605E5C"/>
      <w:shd w:val="clear" w:color="auto" w:fill="E1DFDD"/>
    </w:rPr>
  </w:style>
  <w:style w:type="paragraph" w:customStyle="1" w:styleId="PullBoxQuote">
    <w:name w:val="Pull Box Quote"/>
    <w:basedOn w:val="PullBox"/>
    <w:qFormat/>
    <w:rsid w:val="001231D2"/>
    <w:pPr>
      <w:pBdr>
        <w:top w:val="single" w:sz="4" w:space="6" w:color="F2F2F2" w:themeColor="background2"/>
        <w:left w:val="single" w:sz="4" w:space="4" w:color="F2F2F2" w:themeColor="background2"/>
        <w:bottom w:val="single" w:sz="4" w:space="6" w:color="F2F2F2" w:themeColor="background2"/>
        <w:right w:val="single" w:sz="4" w:space="4" w:color="F2F2F2" w:themeColor="background2"/>
      </w:pBdr>
      <w:shd w:val="clear" w:color="auto" w:fill="F2F2F2" w:themeFill="background2"/>
      <w:ind w:left="0" w:right="3402"/>
      <w:jc w:val="center"/>
    </w:pPr>
  </w:style>
  <w:style w:type="numbering" w:customStyle="1" w:styleId="HangingList">
    <w:name w:val="HangingList"/>
    <w:uiPriority w:val="99"/>
    <w:rsid w:val="009A0CAC"/>
    <w:pPr>
      <w:numPr>
        <w:numId w:val="8"/>
      </w:numPr>
    </w:pPr>
  </w:style>
  <w:style w:type="paragraph" w:customStyle="1" w:styleId="HighlightBoxBullet">
    <w:name w:val="Highlight Box Bullet"/>
    <w:basedOn w:val="Normal"/>
    <w:qFormat/>
    <w:rsid w:val="00931A31"/>
    <w:pPr>
      <w:numPr>
        <w:numId w:val="9"/>
      </w:numPr>
      <w:pBdr>
        <w:top w:val="single" w:sz="4" w:space="10" w:color="44546A" w:themeColor="text2"/>
        <w:left w:val="single" w:sz="4" w:space="12" w:color="44546A" w:themeColor="text2"/>
        <w:bottom w:val="single" w:sz="4" w:space="10" w:color="44546A" w:themeColor="text2"/>
        <w:right w:val="single" w:sz="4" w:space="12" w:color="44546A" w:themeColor="text2"/>
      </w:pBdr>
      <w:shd w:val="clear" w:color="auto" w:fill="F2F2F2" w:themeFill="background2"/>
      <w:tabs>
        <w:tab w:val="left" w:pos="2268"/>
        <w:tab w:val="left" w:pos="4536"/>
        <w:tab w:val="left" w:pos="6804"/>
        <w:tab w:val="right" w:pos="9638"/>
      </w:tabs>
      <w:spacing w:before="180" w:after="180" w:line="260" w:lineRule="atLeast"/>
      <w:ind w:right="227"/>
    </w:pPr>
    <w:rPr>
      <w:rFonts w:asciiTheme="minorHAnsi" w:eastAsia="Times New Roman" w:hAnsiTheme="minorHAnsi"/>
      <w:color w:val="000000" w:themeColor="text1"/>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2">
      <w:bodyDiv w:val="1"/>
      <w:marLeft w:val="0"/>
      <w:marRight w:val="0"/>
      <w:marTop w:val="0"/>
      <w:marBottom w:val="0"/>
      <w:divBdr>
        <w:top w:val="none" w:sz="0" w:space="0" w:color="auto"/>
        <w:left w:val="none" w:sz="0" w:space="0" w:color="auto"/>
        <w:bottom w:val="none" w:sz="0" w:space="0" w:color="auto"/>
        <w:right w:val="none" w:sz="0" w:space="0" w:color="auto"/>
      </w:divBdr>
    </w:div>
    <w:div w:id="235895459">
      <w:bodyDiv w:val="1"/>
      <w:marLeft w:val="0"/>
      <w:marRight w:val="0"/>
      <w:marTop w:val="0"/>
      <w:marBottom w:val="0"/>
      <w:divBdr>
        <w:top w:val="none" w:sz="0" w:space="0" w:color="auto"/>
        <w:left w:val="none" w:sz="0" w:space="0" w:color="auto"/>
        <w:bottom w:val="none" w:sz="0" w:space="0" w:color="auto"/>
        <w:right w:val="none" w:sz="0" w:space="0" w:color="auto"/>
      </w:divBdr>
    </w:div>
    <w:div w:id="405306399">
      <w:bodyDiv w:val="1"/>
      <w:marLeft w:val="0"/>
      <w:marRight w:val="0"/>
      <w:marTop w:val="0"/>
      <w:marBottom w:val="0"/>
      <w:divBdr>
        <w:top w:val="none" w:sz="0" w:space="0" w:color="auto"/>
        <w:left w:val="none" w:sz="0" w:space="0" w:color="auto"/>
        <w:bottom w:val="none" w:sz="0" w:space="0" w:color="auto"/>
        <w:right w:val="none" w:sz="0" w:space="0" w:color="auto"/>
      </w:divBdr>
    </w:div>
    <w:div w:id="632567090">
      <w:bodyDiv w:val="1"/>
      <w:marLeft w:val="0"/>
      <w:marRight w:val="0"/>
      <w:marTop w:val="0"/>
      <w:marBottom w:val="0"/>
      <w:divBdr>
        <w:top w:val="none" w:sz="0" w:space="0" w:color="auto"/>
        <w:left w:val="none" w:sz="0" w:space="0" w:color="auto"/>
        <w:bottom w:val="none" w:sz="0" w:space="0" w:color="auto"/>
        <w:right w:val="none" w:sz="0" w:space="0" w:color="auto"/>
      </w:divBdr>
    </w:div>
    <w:div w:id="849880549">
      <w:bodyDiv w:val="1"/>
      <w:marLeft w:val="0"/>
      <w:marRight w:val="0"/>
      <w:marTop w:val="0"/>
      <w:marBottom w:val="0"/>
      <w:divBdr>
        <w:top w:val="none" w:sz="0" w:space="0" w:color="auto"/>
        <w:left w:val="none" w:sz="0" w:space="0" w:color="auto"/>
        <w:bottom w:val="none" w:sz="0" w:space="0" w:color="auto"/>
        <w:right w:val="none" w:sz="0" w:space="0" w:color="auto"/>
      </w:divBdr>
    </w:div>
    <w:div w:id="953751576">
      <w:bodyDiv w:val="1"/>
      <w:marLeft w:val="0"/>
      <w:marRight w:val="0"/>
      <w:marTop w:val="0"/>
      <w:marBottom w:val="0"/>
      <w:divBdr>
        <w:top w:val="none" w:sz="0" w:space="0" w:color="auto"/>
        <w:left w:val="none" w:sz="0" w:space="0" w:color="auto"/>
        <w:bottom w:val="none" w:sz="0" w:space="0" w:color="auto"/>
        <w:right w:val="none" w:sz="0" w:space="0" w:color="auto"/>
      </w:divBdr>
    </w:div>
    <w:div w:id="953903177">
      <w:bodyDiv w:val="1"/>
      <w:marLeft w:val="0"/>
      <w:marRight w:val="0"/>
      <w:marTop w:val="0"/>
      <w:marBottom w:val="0"/>
      <w:divBdr>
        <w:top w:val="none" w:sz="0" w:space="0" w:color="auto"/>
        <w:left w:val="none" w:sz="0" w:space="0" w:color="auto"/>
        <w:bottom w:val="none" w:sz="0" w:space="0" w:color="auto"/>
        <w:right w:val="none" w:sz="0" w:space="0" w:color="auto"/>
      </w:divBdr>
    </w:div>
    <w:div w:id="1272786477">
      <w:bodyDiv w:val="1"/>
      <w:marLeft w:val="0"/>
      <w:marRight w:val="0"/>
      <w:marTop w:val="0"/>
      <w:marBottom w:val="0"/>
      <w:divBdr>
        <w:top w:val="none" w:sz="0" w:space="0" w:color="auto"/>
        <w:left w:val="none" w:sz="0" w:space="0" w:color="auto"/>
        <w:bottom w:val="none" w:sz="0" w:space="0" w:color="auto"/>
        <w:right w:val="none" w:sz="0" w:space="0" w:color="auto"/>
      </w:divBdr>
    </w:div>
    <w:div w:id="1355424792">
      <w:bodyDiv w:val="1"/>
      <w:marLeft w:val="0"/>
      <w:marRight w:val="0"/>
      <w:marTop w:val="0"/>
      <w:marBottom w:val="0"/>
      <w:divBdr>
        <w:top w:val="none" w:sz="0" w:space="0" w:color="auto"/>
        <w:left w:val="none" w:sz="0" w:space="0" w:color="auto"/>
        <w:bottom w:val="none" w:sz="0" w:space="0" w:color="auto"/>
        <w:right w:val="none" w:sz="0" w:space="0" w:color="auto"/>
      </w:divBdr>
    </w:div>
    <w:div w:id="1683970831">
      <w:bodyDiv w:val="1"/>
      <w:marLeft w:val="0"/>
      <w:marRight w:val="0"/>
      <w:marTop w:val="0"/>
      <w:marBottom w:val="0"/>
      <w:divBdr>
        <w:top w:val="none" w:sz="0" w:space="0" w:color="auto"/>
        <w:left w:val="none" w:sz="0" w:space="0" w:color="auto"/>
        <w:bottom w:val="none" w:sz="0" w:space="0" w:color="auto"/>
        <w:right w:val="none" w:sz="0" w:space="0" w:color="auto"/>
      </w:divBdr>
    </w:div>
    <w:div w:id="1736472818">
      <w:bodyDiv w:val="1"/>
      <w:marLeft w:val="0"/>
      <w:marRight w:val="0"/>
      <w:marTop w:val="0"/>
      <w:marBottom w:val="0"/>
      <w:divBdr>
        <w:top w:val="none" w:sz="0" w:space="0" w:color="auto"/>
        <w:left w:val="none" w:sz="0" w:space="0" w:color="auto"/>
        <w:bottom w:val="none" w:sz="0" w:space="0" w:color="auto"/>
        <w:right w:val="none" w:sz="0" w:space="0" w:color="auto"/>
      </w:divBdr>
    </w:div>
    <w:div w:id="1757088426">
      <w:bodyDiv w:val="1"/>
      <w:marLeft w:val="0"/>
      <w:marRight w:val="0"/>
      <w:marTop w:val="0"/>
      <w:marBottom w:val="0"/>
      <w:divBdr>
        <w:top w:val="none" w:sz="0" w:space="0" w:color="auto"/>
        <w:left w:val="none" w:sz="0" w:space="0" w:color="auto"/>
        <w:bottom w:val="none" w:sz="0" w:space="0" w:color="auto"/>
        <w:right w:val="none" w:sz="0" w:space="0" w:color="auto"/>
      </w:divBdr>
    </w:div>
    <w:div w:id="1998999474">
      <w:bodyDiv w:val="1"/>
      <w:marLeft w:val="0"/>
      <w:marRight w:val="0"/>
      <w:marTop w:val="0"/>
      <w:marBottom w:val="0"/>
      <w:divBdr>
        <w:top w:val="none" w:sz="0" w:space="0" w:color="auto"/>
        <w:left w:val="none" w:sz="0" w:space="0" w:color="auto"/>
        <w:bottom w:val="none" w:sz="0" w:space="0" w:color="auto"/>
        <w:right w:val="none" w:sz="0" w:space="0" w:color="auto"/>
      </w:divBdr>
    </w:div>
    <w:div w:id="2139445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c.vic.gov.au/wate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44546A"/>
      </a:dk2>
      <a:lt2>
        <a:srgbClr val="F2F2F2"/>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70B9-14D1-4B1D-B67F-2ECE5EE7E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7200</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Melbourne Water Price Submission 2021 at a glance</vt:lpstr>
    </vt:vector>
  </TitlesOfParts>
  <LinksUpToDate>false</LinksUpToDate>
  <CharactersWithSpaces>48144</CharactersWithSpaces>
  <SharedDoc>false</SharedDoc>
  <HLinks>
    <vt:vector size="1968" baseType="variant">
      <vt:variant>
        <vt:i4>6619175</vt:i4>
      </vt:variant>
      <vt:variant>
        <vt:i4>2826</vt:i4>
      </vt:variant>
      <vt:variant>
        <vt:i4>0</vt:i4>
      </vt:variant>
      <vt:variant>
        <vt:i4>5</vt:i4>
      </vt:variant>
      <vt:variant>
        <vt:lpwstr>https://www.melbournewater.com.au/</vt:lpwstr>
      </vt:variant>
      <vt:variant>
        <vt:lpwstr/>
      </vt:variant>
      <vt:variant>
        <vt:i4>6619175</vt:i4>
      </vt:variant>
      <vt:variant>
        <vt:i4>2679</vt:i4>
      </vt:variant>
      <vt:variant>
        <vt:i4>0</vt:i4>
      </vt:variant>
      <vt:variant>
        <vt:i4>5</vt:i4>
      </vt:variant>
      <vt:variant>
        <vt:lpwstr>https://www.melbournewater.com.au/</vt:lpwstr>
      </vt:variant>
      <vt:variant>
        <vt:lpwstr/>
      </vt:variant>
      <vt:variant>
        <vt:i4>5111862</vt:i4>
      </vt:variant>
      <vt:variant>
        <vt:i4>2064</vt:i4>
      </vt:variant>
      <vt:variant>
        <vt:i4>0</vt:i4>
      </vt:variant>
      <vt:variant>
        <vt:i4>5</vt:i4>
      </vt:variant>
      <vt:variant>
        <vt:lpwstr/>
      </vt:variant>
      <vt:variant>
        <vt:lpwstr>NoteAppCBE_2</vt:lpwstr>
      </vt:variant>
      <vt:variant>
        <vt:i4>2949204</vt:i4>
      </vt:variant>
      <vt:variant>
        <vt:i4>2061</vt:i4>
      </vt:variant>
      <vt:variant>
        <vt:i4>0</vt:i4>
      </vt:variant>
      <vt:variant>
        <vt:i4>5</vt:i4>
      </vt:variant>
      <vt:variant>
        <vt:lpwstr/>
      </vt:variant>
      <vt:variant>
        <vt:lpwstr>NoteAppC_4</vt:lpwstr>
      </vt:variant>
      <vt:variant>
        <vt:i4>7995476</vt:i4>
      </vt:variant>
      <vt:variant>
        <vt:i4>2058</vt:i4>
      </vt:variant>
      <vt:variant>
        <vt:i4>0</vt:i4>
      </vt:variant>
      <vt:variant>
        <vt:i4>5</vt:i4>
      </vt:variant>
      <vt:variant>
        <vt:lpwstr/>
      </vt:variant>
      <vt:variant>
        <vt:lpwstr>NoteAppC_C</vt:lpwstr>
      </vt:variant>
      <vt:variant>
        <vt:i4>7995476</vt:i4>
      </vt:variant>
      <vt:variant>
        <vt:i4>2055</vt:i4>
      </vt:variant>
      <vt:variant>
        <vt:i4>0</vt:i4>
      </vt:variant>
      <vt:variant>
        <vt:i4>5</vt:i4>
      </vt:variant>
      <vt:variant>
        <vt:lpwstr/>
      </vt:variant>
      <vt:variant>
        <vt:lpwstr>NoteAppC_C</vt:lpwstr>
      </vt:variant>
      <vt:variant>
        <vt:i4>7995476</vt:i4>
      </vt:variant>
      <vt:variant>
        <vt:i4>2052</vt:i4>
      </vt:variant>
      <vt:variant>
        <vt:i4>0</vt:i4>
      </vt:variant>
      <vt:variant>
        <vt:i4>5</vt:i4>
      </vt:variant>
      <vt:variant>
        <vt:lpwstr/>
      </vt:variant>
      <vt:variant>
        <vt:lpwstr>NoteAppC_C</vt:lpwstr>
      </vt:variant>
      <vt:variant>
        <vt:i4>7995476</vt:i4>
      </vt:variant>
      <vt:variant>
        <vt:i4>2049</vt:i4>
      </vt:variant>
      <vt:variant>
        <vt:i4>0</vt:i4>
      </vt:variant>
      <vt:variant>
        <vt:i4>5</vt:i4>
      </vt:variant>
      <vt:variant>
        <vt:lpwstr/>
      </vt:variant>
      <vt:variant>
        <vt:lpwstr>NoteAppC_C</vt:lpwstr>
      </vt:variant>
      <vt:variant>
        <vt:i4>2621524</vt:i4>
      </vt:variant>
      <vt:variant>
        <vt:i4>2046</vt:i4>
      </vt:variant>
      <vt:variant>
        <vt:i4>0</vt:i4>
      </vt:variant>
      <vt:variant>
        <vt:i4>5</vt:i4>
      </vt:variant>
      <vt:variant>
        <vt:lpwstr/>
      </vt:variant>
      <vt:variant>
        <vt:lpwstr>NoteAppC_11</vt:lpwstr>
      </vt:variant>
      <vt:variant>
        <vt:i4>2621524</vt:i4>
      </vt:variant>
      <vt:variant>
        <vt:i4>2043</vt:i4>
      </vt:variant>
      <vt:variant>
        <vt:i4>0</vt:i4>
      </vt:variant>
      <vt:variant>
        <vt:i4>5</vt:i4>
      </vt:variant>
      <vt:variant>
        <vt:lpwstr/>
      </vt:variant>
      <vt:variant>
        <vt:lpwstr>NoteAppC_10</vt:lpwstr>
      </vt:variant>
      <vt:variant>
        <vt:i4>8061012</vt:i4>
      </vt:variant>
      <vt:variant>
        <vt:i4>2040</vt:i4>
      </vt:variant>
      <vt:variant>
        <vt:i4>0</vt:i4>
      </vt:variant>
      <vt:variant>
        <vt:i4>5</vt:i4>
      </vt:variant>
      <vt:variant>
        <vt:lpwstr/>
      </vt:variant>
      <vt:variant>
        <vt:lpwstr>NoteAppC_B</vt:lpwstr>
      </vt:variant>
      <vt:variant>
        <vt:i4>2162772</vt:i4>
      </vt:variant>
      <vt:variant>
        <vt:i4>2037</vt:i4>
      </vt:variant>
      <vt:variant>
        <vt:i4>0</vt:i4>
      </vt:variant>
      <vt:variant>
        <vt:i4>5</vt:i4>
      </vt:variant>
      <vt:variant>
        <vt:lpwstr/>
      </vt:variant>
      <vt:variant>
        <vt:lpwstr>NoteAppC_8</vt:lpwstr>
      </vt:variant>
      <vt:variant>
        <vt:i4>8061012</vt:i4>
      </vt:variant>
      <vt:variant>
        <vt:i4>2034</vt:i4>
      </vt:variant>
      <vt:variant>
        <vt:i4>0</vt:i4>
      </vt:variant>
      <vt:variant>
        <vt:i4>5</vt:i4>
      </vt:variant>
      <vt:variant>
        <vt:lpwstr/>
      </vt:variant>
      <vt:variant>
        <vt:lpwstr>NoteAppC_B</vt:lpwstr>
      </vt:variant>
      <vt:variant>
        <vt:i4>3080276</vt:i4>
      </vt:variant>
      <vt:variant>
        <vt:i4>2031</vt:i4>
      </vt:variant>
      <vt:variant>
        <vt:i4>0</vt:i4>
      </vt:variant>
      <vt:variant>
        <vt:i4>5</vt:i4>
      </vt:variant>
      <vt:variant>
        <vt:lpwstr/>
      </vt:variant>
      <vt:variant>
        <vt:lpwstr>NoteAppC_6</vt:lpwstr>
      </vt:variant>
      <vt:variant>
        <vt:i4>8061012</vt:i4>
      </vt:variant>
      <vt:variant>
        <vt:i4>2028</vt:i4>
      </vt:variant>
      <vt:variant>
        <vt:i4>0</vt:i4>
      </vt:variant>
      <vt:variant>
        <vt:i4>5</vt:i4>
      </vt:variant>
      <vt:variant>
        <vt:lpwstr/>
      </vt:variant>
      <vt:variant>
        <vt:lpwstr>NoteAppC_B</vt:lpwstr>
      </vt:variant>
      <vt:variant>
        <vt:i4>2752596</vt:i4>
      </vt:variant>
      <vt:variant>
        <vt:i4>2025</vt:i4>
      </vt:variant>
      <vt:variant>
        <vt:i4>0</vt:i4>
      </vt:variant>
      <vt:variant>
        <vt:i4>5</vt:i4>
      </vt:variant>
      <vt:variant>
        <vt:lpwstr/>
      </vt:variant>
      <vt:variant>
        <vt:lpwstr>NoteAppC_3</vt:lpwstr>
      </vt:variant>
      <vt:variant>
        <vt:i4>8061012</vt:i4>
      </vt:variant>
      <vt:variant>
        <vt:i4>2022</vt:i4>
      </vt:variant>
      <vt:variant>
        <vt:i4>0</vt:i4>
      </vt:variant>
      <vt:variant>
        <vt:i4>5</vt:i4>
      </vt:variant>
      <vt:variant>
        <vt:lpwstr/>
      </vt:variant>
      <vt:variant>
        <vt:lpwstr>NoteAppC_B</vt:lpwstr>
      </vt:variant>
      <vt:variant>
        <vt:i4>2621524</vt:i4>
      </vt:variant>
      <vt:variant>
        <vt:i4>2019</vt:i4>
      </vt:variant>
      <vt:variant>
        <vt:i4>0</vt:i4>
      </vt:variant>
      <vt:variant>
        <vt:i4>5</vt:i4>
      </vt:variant>
      <vt:variant>
        <vt:lpwstr/>
      </vt:variant>
      <vt:variant>
        <vt:lpwstr>NoteAppC_1</vt:lpwstr>
      </vt:variant>
      <vt:variant>
        <vt:i4>7864404</vt:i4>
      </vt:variant>
      <vt:variant>
        <vt:i4>2016</vt:i4>
      </vt:variant>
      <vt:variant>
        <vt:i4>0</vt:i4>
      </vt:variant>
      <vt:variant>
        <vt:i4>5</vt:i4>
      </vt:variant>
      <vt:variant>
        <vt:lpwstr/>
      </vt:variant>
      <vt:variant>
        <vt:lpwstr>NoteAppC_A</vt:lpwstr>
      </vt:variant>
      <vt:variant>
        <vt:i4>7864404</vt:i4>
      </vt:variant>
      <vt:variant>
        <vt:i4>2013</vt:i4>
      </vt:variant>
      <vt:variant>
        <vt:i4>0</vt:i4>
      </vt:variant>
      <vt:variant>
        <vt:i4>5</vt:i4>
      </vt:variant>
      <vt:variant>
        <vt:lpwstr/>
      </vt:variant>
      <vt:variant>
        <vt:lpwstr>NoteAppC_A</vt:lpwstr>
      </vt:variant>
      <vt:variant>
        <vt:i4>7864404</vt:i4>
      </vt:variant>
      <vt:variant>
        <vt:i4>2010</vt:i4>
      </vt:variant>
      <vt:variant>
        <vt:i4>0</vt:i4>
      </vt:variant>
      <vt:variant>
        <vt:i4>5</vt:i4>
      </vt:variant>
      <vt:variant>
        <vt:lpwstr/>
      </vt:variant>
      <vt:variant>
        <vt:lpwstr>NoteAppC_A</vt:lpwstr>
      </vt:variant>
      <vt:variant>
        <vt:i4>7864404</vt:i4>
      </vt:variant>
      <vt:variant>
        <vt:i4>2007</vt:i4>
      </vt:variant>
      <vt:variant>
        <vt:i4>0</vt:i4>
      </vt:variant>
      <vt:variant>
        <vt:i4>5</vt:i4>
      </vt:variant>
      <vt:variant>
        <vt:lpwstr/>
      </vt:variant>
      <vt:variant>
        <vt:lpwstr>NoteAppC_A</vt:lpwstr>
      </vt:variant>
      <vt:variant>
        <vt:i4>7995476</vt:i4>
      </vt:variant>
      <vt:variant>
        <vt:i4>2004</vt:i4>
      </vt:variant>
      <vt:variant>
        <vt:i4>0</vt:i4>
      </vt:variant>
      <vt:variant>
        <vt:i4>5</vt:i4>
      </vt:variant>
      <vt:variant>
        <vt:lpwstr/>
      </vt:variant>
      <vt:variant>
        <vt:lpwstr>NoteAppC_C</vt:lpwstr>
      </vt:variant>
      <vt:variant>
        <vt:i4>8061012</vt:i4>
      </vt:variant>
      <vt:variant>
        <vt:i4>2001</vt:i4>
      </vt:variant>
      <vt:variant>
        <vt:i4>0</vt:i4>
      </vt:variant>
      <vt:variant>
        <vt:i4>5</vt:i4>
      </vt:variant>
      <vt:variant>
        <vt:lpwstr/>
      </vt:variant>
      <vt:variant>
        <vt:lpwstr>NoteAppC_B</vt:lpwstr>
      </vt:variant>
      <vt:variant>
        <vt:i4>7864404</vt:i4>
      </vt:variant>
      <vt:variant>
        <vt:i4>1998</vt:i4>
      </vt:variant>
      <vt:variant>
        <vt:i4>0</vt:i4>
      </vt:variant>
      <vt:variant>
        <vt:i4>5</vt:i4>
      </vt:variant>
      <vt:variant>
        <vt:lpwstr/>
      </vt:variant>
      <vt:variant>
        <vt:lpwstr>NoteAppC_A</vt:lpwstr>
      </vt:variant>
      <vt:variant>
        <vt:i4>2097236</vt:i4>
      </vt:variant>
      <vt:variant>
        <vt:i4>1995</vt:i4>
      </vt:variant>
      <vt:variant>
        <vt:i4>0</vt:i4>
      </vt:variant>
      <vt:variant>
        <vt:i4>5</vt:i4>
      </vt:variant>
      <vt:variant>
        <vt:lpwstr/>
      </vt:variant>
      <vt:variant>
        <vt:lpwstr>NoteAppC_9</vt:lpwstr>
      </vt:variant>
      <vt:variant>
        <vt:i4>3014740</vt:i4>
      </vt:variant>
      <vt:variant>
        <vt:i4>1992</vt:i4>
      </vt:variant>
      <vt:variant>
        <vt:i4>0</vt:i4>
      </vt:variant>
      <vt:variant>
        <vt:i4>5</vt:i4>
      </vt:variant>
      <vt:variant>
        <vt:lpwstr/>
      </vt:variant>
      <vt:variant>
        <vt:lpwstr>NoteAppC_7</vt:lpwstr>
      </vt:variant>
      <vt:variant>
        <vt:i4>2883668</vt:i4>
      </vt:variant>
      <vt:variant>
        <vt:i4>1989</vt:i4>
      </vt:variant>
      <vt:variant>
        <vt:i4>0</vt:i4>
      </vt:variant>
      <vt:variant>
        <vt:i4>5</vt:i4>
      </vt:variant>
      <vt:variant>
        <vt:lpwstr/>
      </vt:variant>
      <vt:variant>
        <vt:lpwstr>NoteAppC_5</vt:lpwstr>
      </vt:variant>
      <vt:variant>
        <vt:i4>2818132</vt:i4>
      </vt:variant>
      <vt:variant>
        <vt:i4>1986</vt:i4>
      </vt:variant>
      <vt:variant>
        <vt:i4>0</vt:i4>
      </vt:variant>
      <vt:variant>
        <vt:i4>5</vt:i4>
      </vt:variant>
      <vt:variant>
        <vt:lpwstr/>
      </vt:variant>
      <vt:variant>
        <vt:lpwstr>NoteAppC_2</vt:lpwstr>
      </vt:variant>
      <vt:variant>
        <vt:i4>196629</vt:i4>
      </vt:variant>
      <vt:variant>
        <vt:i4>1983</vt:i4>
      </vt:variant>
      <vt:variant>
        <vt:i4>0</vt:i4>
      </vt:variant>
      <vt:variant>
        <vt:i4>5</vt:i4>
      </vt:variant>
      <vt:variant>
        <vt:lpwstr>https://www.ibac.vic.gov.au/</vt:lpwstr>
      </vt:variant>
      <vt:variant>
        <vt:lpwstr/>
      </vt:variant>
      <vt:variant>
        <vt:i4>6619175</vt:i4>
      </vt:variant>
      <vt:variant>
        <vt:i4>1980</vt:i4>
      </vt:variant>
      <vt:variant>
        <vt:i4>0</vt:i4>
      </vt:variant>
      <vt:variant>
        <vt:i4>5</vt:i4>
      </vt:variant>
      <vt:variant>
        <vt:lpwstr>https://www.melbournewater.com.au/</vt:lpwstr>
      </vt:variant>
      <vt:variant>
        <vt:lpwstr/>
      </vt:variant>
      <vt:variant>
        <vt:i4>655463</vt:i4>
      </vt:variant>
      <vt:variant>
        <vt:i4>1977</vt:i4>
      </vt:variant>
      <vt:variant>
        <vt:i4>0</vt:i4>
      </vt:variant>
      <vt:variant>
        <vt:i4>5</vt:i4>
      </vt:variant>
      <vt:variant>
        <vt:lpwstr>mailto:foi@melbournewater.com.au</vt:lpwstr>
      </vt:variant>
      <vt:variant>
        <vt:lpwstr/>
      </vt:variant>
      <vt:variant>
        <vt:i4>6619175</vt:i4>
      </vt:variant>
      <vt:variant>
        <vt:i4>1971</vt:i4>
      </vt:variant>
      <vt:variant>
        <vt:i4>0</vt:i4>
      </vt:variant>
      <vt:variant>
        <vt:i4>5</vt:i4>
      </vt:variant>
      <vt:variant>
        <vt:lpwstr>https://www.melbournewater.com.au/</vt:lpwstr>
      </vt:variant>
      <vt:variant>
        <vt:lpwstr/>
      </vt:variant>
      <vt:variant>
        <vt:i4>1441852</vt:i4>
      </vt:variant>
      <vt:variant>
        <vt:i4>1602</vt:i4>
      </vt:variant>
      <vt:variant>
        <vt:i4>0</vt:i4>
      </vt:variant>
      <vt:variant>
        <vt:i4>5</vt:i4>
      </vt:variant>
      <vt:variant>
        <vt:lpwstr/>
      </vt:variant>
      <vt:variant>
        <vt:lpwstr>_Appendix_J_–</vt:lpwstr>
      </vt:variant>
      <vt:variant>
        <vt:i4>1441855</vt:i4>
      </vt:variant>
      <vt:variant>
        <vt:i4>1599</vt:i4>
      </vt:variant>
      <vt:variant>
        <vt:i4>0</vt:i4>
      </vt:variant>
      <vt:variant>
        <vt:i4>5</vt:i4>
      </vt:variant>
      <vt:variant>
        <vt:lpwstr/>
      </vt:variant>
      <vt:variant>
        <vt:lpwstr>_Appendix_I_–</vt:lpwstr>
      </vt:variant>
      <vt:variant>
        <vt:i4>1441854</vt:i4>
      </vt:variant>
      <vt:variant>
        <vt:i4>1596</vt:i4>
      </vt:variant>
      <vt:variant>
        <vt:i4>0</vt:i4>
      </vt:variant>
      <vt:variant>
        <vt:i4>5</vt:i4>
      </vt:variant>
      <vt:variant>
        <vt:lpwstr/>
      </vt:variant>
      <vt:variant>
        <vt:lpwstr>_Appendix_H_–</vt:lpwstr>
      </vt:variant>
      <vt:variant>
        <vt:i4>1441841</vt:i4>
      </vt:variant>
      <vt:variant>
        <vt:i4>1593</vt:i4>
      </vt:variant>
      <vt:variant>
        <vt:i4>0</vt:i4>
      </vt:variant>
      <vt:variant>
        <vt:i4>5</vt:i4>
      </vt:variant>
      <vt:variant>
        <vt:lpwstr/>
      </vt:variant>
      <vt:variant>
        <vt:lpwstr>_Appendix_G_–</vt:lpwstr>
      </vt:variant>
      <vt:variant>
        <vt:i4>1441840</vt:i4>
      </vt:variant>
      <vt:variant>
        <vt:i4>1590</vt:i4>
      </vt:variant>
      <vt:variant>
        <vt:i4>0</vt:i4>
      </vt:variant>
      <vt:variant>
        <vt:i4>5</vt:i4>
      </vt:variant>
      <vt:variant>
        <vt:lpwstr/>
      </vt:variant>
      <vt:variant>
        <vt:lpwstr>_Appendix_F_–</vt:lpwstr>
      </vt:variant>
      <vt:variant>
        <vt:i4>1441843</vt:i4>
      </vt:variant>
      <vt:variant>
        <vt:i4>1587</vt:i4>
      </vt:variant>
      <vt:variant>
        <vt:i4>0</vt:i4>
      </vt:variant>
      <vt:variant>
        <vt:i4>5</vt:i4>
      </vt:variant>
      <vt:variant>
        <vt:lpwstr/>
      </vt:variant>
      <vt:variant>
        <vt:lpwstr>_Appendix_E_–</vt:lpwstr>
      </vt:variant>
      <vt:variant>
        <vt:i4>1441842</vt:i4>
      </vt:variant>
      <vt:variant>
        <vt:i4>1584</vt:i4>
      </vt:variant>
      <vt:variant>
        <vt:i4>0</vt:i4>
      </vt:variant>
      <vt:variant>
        <vt:i4>5</vt:i4>
      </vt:variant>
      <vt:variant>
        <vt:lpwstr/>
      </vt:variant>
      <vt:variant>
        <vt:lpwstr>_Appendix_D_–</vt:lpwstr>
      </vt:variant>
      <vt:variant>
        <vt:i4>1441845</vt:i4>
      </vt:variant>
      <vt:variant>
        <vt:i4>1581</vt:i4>
      </vt:variant>
      <vt:variant>
        <vt:i4>0</vt:i4>
      </vt:variant>
      <vt:variant>
        <vt:i4>5</vt:i4>
      </vt:variant>
      <vt:variant>
        <vt:lpwstr/>
      </vt:variant>
      <vt:variant>
        <vt:lpwstr>_Appendix_C_–</vt:lpwstr>
      </vt:variant>
      <vt:variant>
        <vt:i4>1441844</vt:i4>
      </vt:variant>
      <vt:variant>
        <vt:i4>1578</vt:i4>
      </vt:variant>
      <vt:variant>
        <vt:i4>0</vt:i4>
      </vt:variant>
      <vt:variant>
        <vt:i4>5</vt:i4>
      </vt:variant>
      <vt:variant>
        <vt:lpwstr/>
      </vt:variant>
      <vt:variant>
        <vt:lpwstr>_Appendix_B_–</vt:lpwstr>
      </vt:variant>
      <vt:variant>
        <vt:i4>1441847</vt:i4>
      </vt:variant>
      <vt:variant>
        <vt:i4>1575</vt:i4>
      </vt:variant>
      <vt:variant>
        <vt:i4>0</vt:i4>
      </vt:variant>
      <vt:variant>
        <vt:i4>5</vt:i4>
      </vt:variant>
      <vt:variant>
        <vt:lpwstr/>
      </vt:variant>
      <vt:variant>
        <vt:lpwstr>_Appendix_A_–</vt:lpwstr>
      </vt:variant>
      <vt:variant>
        <vt:i4>5373997</vt:i4>
      </vt:variant>
      <vt:variant>
        <vt:i4>1572</vt:i4>
      </vt:variant>
      <vt:variant>
        <vt:i4>0</vt:i4>
      </vt:variant>
      <vt:variant>
        <vt:i4>5</vt:i4>
      </vt:variant>
      <vt:variant>
        <vt:lpwstr/>
      </vt:variant>
      <vt:variant>
        <vt:lpwstr>NoteWSOSPI_13</vt:lpwstr>
      </vt:variant>
      <vt:variant>
        <vt:i4>5373997</vt:i4>
      </vt:variant>
      <vt:variant>
        <vt:i4>1569</vt:i4>
      </vt:variant>
      <vt:variant>
        <vt:i4>0</vt:i4>
      </vt:variant>
      <vt:variant>
        <vt:i4>5</vt:i4>
      </vt:variant>
      <vt:variant>
        <vt:lpwstr/>
      </vt:variant>
      <vt:variant>
        <vt:lpwstr>NoteWSOSPI_13</vt:lpwstr>
      </vt:variant>
      <vt:variant>
        <vt:i4>5373997</vt:i4>
      </vt:variant>
      <vt:variant>
        <vt:i4>1566</vt:i4>
      </vt:variant>
      <vt:variant>
        <vt:i4>0</vt:i4>
      </vt:variant>
      <vt:variant>
        <vt:i4>5</vt:i4>
      </vt:variant>
      <vt:variant>
        <vt:lpwstr/>
      </vt:variant>
      <vt:variant>
        <vt:lpwstr>NoteWSOSPI_1b</vt:lpwstr>
      </vt:variant>
      <vt:variant>
        <vt:i4>5373997</vt:i4>
      </vt:variant>
      <vt:variant>
        <vt:i4>1563</vt:i4>
      </vt:variant>
      <vt:variant>
        <vt:i4>0</vt:i4>
      </vt:variant>
      <vt:variant>
        <vt:i4>5</vt:i4>
      </vt:variant>
      <vt:variant>
        <vt:lpwstr/>
      </vt:variant>
      <vt:variant>
        <vt:lpwstr>NoteWSOSPI_12</vt:lpwstr>
      </vt:variant>
      <vt:variant>
        <vt:i4>5373997</vt:i4>
      </vt:variant>
      <vt:variant>
        <vt:i4>1560</vt:i4>
      </vt:variant>
      <vt:variant>
        <vt:i4>0</vt:i4>
      </vt:variant>
      <vt:variant>
        <vt:i4>5</vt:i4>
      </vt:variant>
      <vt:variant>
        <vt:lpwstr/>
      </vt:variant>
      <vt:variant>
        <vt:lpwstr>NoteWSOSPI_12</vt:lpwstr>
      </vt:variant>
      <vt:variant>
        <vt:i4>5373997</vt:i4>
      </vt:variant>
      <vt:variant>
        <vt:i4>1557</vt:i4>
      </vt:variant>
      <vt:variant>
        <vt:i4>0</vt:i4>
      </vt:variant>
      <vt:variant>
        <vt:i4>5</vt:i4>
      </vt:variant>
      <vt:variant>
        <vt:lpwstr/>
      </vt:variant>
      <vt:variant>
        <vt:lpwstr>NoteWSOSPI_11</vt:lpwstr>
      </vt:variant>
      <vt:variant>
        <vt:i4>5373997</vt:i4>
      </vt:variant>
      <vt:variant>
        <vt:i4>1554</vt:i4>
      </vt:variant>
      <vt:variant>
        <vt:i4>0</vt:i4>
      </vt:variant>
      <vt:variant>
        <vt:i4>5</vt:i4>
      </vt:variant>
      <vt:variant>
        <vt:lpwstr/>
      </vt:variant>
      <vt:variant>
        <vt:lpwstr>NoteWSOSPI_11</vt:lpwstr>
      </vt:variant>
      <vt:variant>
        <vt:i4>5373997</vt:i4>
      </vt:variant>
      <vt:variant>
        <vt:i4>1551</vt:i4>
      </vt:variant>
      <vt:variant>
        <vt:i4>0</vt:i4>
      </vt:variant>
      <vt:variant>
        <vt:i4>5</vt:i4>
      </vt:variant>
      <vt:variant>
        <vt:lpwstr/>
      </vt:variant>
      <vt:variant>
        <vt:lpwstr>NoteWSOSPI_10</vt:lpwstr>
      </vt:variant>
      <vt:variant>
        <vt:i4>5373997</vt:i4>
      </vt:variant>
      <vt:variant>
        <vt:i4>1548</vt:i4>
      </vt:variant>
      <vt:variant>
        <vt:i4>0</vt:i4>
      </vt:variant>
      <vt:variant>
        <vt:i4>5</vt:i4>
      </vt:variant>
      <vt:variant>
        <vt:lpwstr/>
      </vt:variant>
      <vt:variant>
        <vt:lpwstr>NoteWSOSPI_1</vt:lpwstr>
      </vt:variant>
      <vt:variant>
        <vt:i4>4259893</vt:i4>
      </vt:variant>
      <vt:variant>
        <vt:i4>1545</vt:i4>
      </vt:variant>
      <vt:variant>
        <vt:i4>0</vt:i4>
      </vt:variant>
      <vt:variant>
        <vt:i4>5</vt:i4>
      </vt:variant>
      <vt:variant>
        <vt:lpwstr/>
      </vt:variant>
      <vt:variant>
        <vt:lpwstr>NotePR_9</vt:lpwstr>
      </vt:variant>
      <vt:variant>
        <vt:i4>4194357</vt:i4>
      </vt:variant>
      <vt:variant>
        <vt:i4>1542</vt:i4>
      </vt:variant>
      <vt:variant>
        <vt:i4>0</vt:i4>
      </vt:variant>
      <vt:variant>
        <vt:i4>5</vt:i4>
      </vt:variant>
      <vt:variant>
        <vt:lpwstr/>
      </vt:variant>
      <vt:variant>
        <vt:lpwstr>NotePR_8</vt:lpwstr>
      </vt:variant>
      <vt:variant>
        <vt:i4>5177397</vt:i4>
      </vt:variant>
      <vt:variant>
        <vt:i4>1539</vt:i4>
      </vt:variant>
      <vt:variant>
        <vt:i4>0</vt:i4>
      </vt:variant>
      <vt:variant>
        <vt:i4>5</vt:i4>
      </vt:variant>
      <vt:variant>
        <vt:lpwstr/>
      </vt:variant>
      <vt:variant>
        <vt:lpwstr>NotePR_7</vt:lpwstr>
      </vt:variant>
      <vt:variant>
        <vt:i4>5111861</vt:i4>
      </vt:variant>
      <vt:variant>
        <vt:i4>1536</vt:i4>
      </vt:variant>
      <vt:variant>
        <vt:i4>0</vt:i4>
      </vt:variant>
      <vt:variant>
        <vt:i4>5</vt:i4>
      </vt:variant>
      <vt:variant>
        <vt:lpwstr/>
      </vt:variant>
      <vt:variant>
        <vt:lpwstr>NotePR_6</vt:lpwstr>
      </vt:variant>
      <vt:variant>
        <vt:i4>5046325</vt:i4>
      </vt:variant>
      <vt:variant>
        <vt:i4>1533</vt:i4>
      </vt:variant>
      <vt:variant>
        <vt:i4>0</vt:i4>
      </vt:variant>
      <vt:variant>
        <vt:i4>5</vt:i4>
      </vt:variant>
      <vt:variant>
        <vt:lpwstr/>
      </vt:variant>
      <vt:variant>
        <vt:lpwstr>NotePR_5</vt:lpwstr>
      </vt:variant>
      <vt:variant>
        <vt:i4>4980789</vt:i4>
      </vt:variant>
      <vt:variant>
        <vt:i4>1530</vt:i4>
      </vt:variant>
      <vt:variant>
        <vt:i4>0</vt:i4>
      </vt:variant>
      <vt:variant>
        <vt:i4>5</vt:i4>
      </vt:variant>
      <vt:variant>
        <vt:lpwstr/>
      </vt:variant>
      <vt:variant>
        <vt:lpwstr>NotePR_4</vt:lpwstr>
      </vt:variant>
      <vt:variant>
        <vt:i4>4915253</vt:i4>
      </vt:variant>
      <vt:variant>
        <vt:i4>1527</vt:i4>
      </vt:variant>
      <vt:variant>
        <vt:i4>0</vt:i4>
      </vt:variant>
      <vt:variant>
        <vt:i4>5</vt:i4>
      </vt:variant>
      <vt:variant>
        <vt:lpwstr/>
      </vt:variant>
      <vt:variant>
        <vt:lpwstr>NotePR_3</vt:lpwstr>
      </vt:variant>
      <vt:variant>
        <vt:i4>4849717</vt:i4>
      </vt:variant>
      <vt:variant>
        <vt:i4>1524</vt:i4>
      </vt:variant>
      <vt:variant>
        <vt:i4>0</vt:i4>
      </vt:variant>
      <vt:variant>
        <vt:i4>5</vt:i4>
      </vt:variant>
      <vt:variant>
        <vt:lpwstr/>
      </vt:variant>
      <vt:variant>
        <vt:lpwstr>NotePR_2</vt:lpwstr>
      </vt:variant>
      <vt:variant>
        <vt:i4>4784181</vt:i4>
      </vt:variant>
      <vt:variant>
        <vt:i4>1521</vt:i4>
      </vt:variant>
      <vt:variant>
        <vt:i4>0</vt:i4>
      </vt:variant>
      <vt:variant>
        <vt:i4>5</vt:i4>
      </vt:variant>
      <vt:variant>
        <vt:lpwstr/>
      </vt:variant>
      <vt:variant>
        <vt:lpwstr>NotePR_1</vt:lpwstr>
      </vt:variant>
      <vt:variant>
        <vt:i4>139355</vt:i4>
      </vt:variant>
      <vt:variant>
        <vt:i4>1518</vt:i4>
      </vt:variant>
      <vt:variant>
        <vt:i4>0</vt:i4>
      </vt:variant>
      <vt:variant>
        <vt:i4>5</vt:i4>
      </vt:variant>
      <vt:variant>
        <vt:lpwstr/>
      </vt:variant>
      <vt:variant>
        <vt:lpwstr>_Independent_Auditor’s_Report</vt:lpwstr>
      </vt:variant>
      <vt:variant>
        <vt:i4>3407879</vt:i4>
      </vt:variant>
      <vt:variant>
        <vt:i4>1515</vt:i4>
      </vt:variant>
      <vt:variant>
        <vt:i4>0</vt:i4>
      </vt:variant>
      <vt:variant>
        <vt:i4>5</vt:i4>
      </vt:variant>
      <vt:variant>
        <vt:lpwstr/>
      </vt:variant>
      <vt:variant>
        <vt:lpwstr>_Certification_of_Performance</vt:lpwstr>
      </vt:variant>
      <vt:variant>
        <vt:i4>8061049</vt:i4>
      </vt:variant>
      <vt:variant>
        <vt:i4>1512</vt:i4>
      </vt:variant>
      <vt:variant>
        <vt:i4>0</vt:i4>
      </vt:variant>
      <vt:variant>
        <vt:i4>5</vt:i4>
      </vt:variant>
      <vt:variant>
        <vt:lpwstr/>
      </vt:variant>
      <vt:variant>
        <vt:lpwstr>_Performance_Report</vt:lpwstr>
      </vt:variant>
      <vt:variant>
        <vt:i4>1114185</vt:i4>
      </vt:variant>
      <vt:variant>
        <vt:i4>1509</vt:i4>
      </vt:variant>
      <vt:variant>
        <vt:i4>0</vt:i4>
      </vt:variant>
      <vt:variant>
        <vt:i4>5</vt:i4>
      </vt:variant>
      <vt:variant>
        <vt:lpwstr/>
      </vt:variant>
      <vt:variant>
        <vt:lpwstr>_5.3_Commitments</vt:lpwstr>
      </vt:variant>
      <vt:variant>
        <vt:i4>4063326</vt:i4>
      </vt:variant>
      <vt:variant>
        <vt:i4>1506</vt:i4>
      </vt:variant>
      <vt:variant>
        <vt:i4>0</vt:i4>
      </vt:variant>
      <vt:variant>
        <vt:i4>5</vt:i4>
      </vt:variant>
      <vt:variant>
        <vt:lpwstr/>
      </vt:variant>
      <vt:variant>
        <vt:lpwstr>_5.1_Interest_bearing</vt:lpwstr>
      </vt:variant>
      <vt:variant>
        <vt:i4>7340107</vt:i4>
      </vt:variant>
      <vt:variant>
        <vt:i4>1503</vt:i4>
      </vt:variant>
      <vt:variant>
        <vt:i4>0</vt:i4>
      </vt:variant>
      <vt:variant>
        <vt:i4>5</vt:i4>
      </vt:variant>
      <vt:variant>
        <vt:lpwstr/>
      </vt:variant>
      <vt:variant>
        <vt:lpwstr>NoteCKMP_A</vt:lpwstr>
      </vt:variant>
      <vt:variant>
        <vt:i4>3145735</vt:i4>
      </vt:variant>
      <vt:variant>
        <vt:i4>1500</vt:i4>
      </vt:variant>
      <vt:variant>
        <vt:i4>0</vt:i4>
      </vt:variant>
      <vt:variant>
        <vt:i4>5</vt:i4>
      </vt:variant>
      <vt:variant>
        <vt:lpwstr/>
      </vt:variant>
      <vt:variant>
        <vt:lpwstr>NoteREO_B</vt:lpwstr>
      </vt:variant>
      <vt:variant>
        <vt:i4>3145735</vt:i4>
      </vt:variant>
      <vt:variant>
        <vt:i4>1497</vt:i4>
      </vt:variant>
      <vt:variant>
        <vt:i4>0</vt:i4>
      </vt:variant>
      <vt:variant>
        <vt:i4>5</vt:i4>
      </vt:variant>
      <vt:variant>
        <vt:lpwstr/>
      </vt:variant>
      <vt:variant>
        <vt:lpwstr>NoteREO_A</vt:lpwstr>
      </vt:variant>
      <vt:variant>
        <vt:i4>1376352</vt:i4>
      </vt:variant>
      <vt:variant>
        <vt:i4>1494</vt:i4>
      </vt:variant>
      <vt:variant>
        <vt:i4>0</vt:i4>
      </vt:variant>
      <vt:variant>
        <vt:i4>5</vt:i4>
      </vt:variant>
      <vt:variant>
        <vt:lpwstr/>
      </vt:variant>
      <vt:variant>
        <vt:lpwstr>_7.4_Related_Parties</vt:lpwstr>
      </vt:variant>
      <vt:variant>
        <vt:i4>5570664</vt:i4>
      </vt:variant>
      <vt:variant>
        <vt:i4>1491</vt:i4>
      </vt:variant>
      <vt:variant>
        <vt:i4>0</vt:i4>
      </vt:variant>
      <vt:variant>
        <vt:i4>5</vt:i4>
      </vt:variant>
      <vt:variant>
        <vt:lpwstr/>
      </vt:variant>
      <vt:variant>
        <vt:lpwstr>NoteR_A</vt:lpwstr>
      </vt:variant>
      <vt:variant>
        <vt:i4>5570664</vt:i4>
      </vt:variant>
      <vt:variant>
        <vt:i4>1488</vt:i4>
      </vt:variant>
      <vt:variant>
        <vt:i4>0</vt:i4>
      </vt:variant>
      <vt:variant>
        <vt:i4>5</vt:i4>
      </vt:variant>
      <vt:variant>
        <vt:lpwstr/>
      </vt:variant>
      <vt:variant>
        <vt:lpwstr>NoteR_A</vt:lpwstr>
      </vt:variant>
      <vt:variant>
        <vt:i4>2293772</vt:i4>
      </vt:variant>
      <vt:variant>
        <vt:i4>1485</vt:i4>
      </vt:variant>
      <vt:variant>
        <vt:i4>0</vt:i4>
      </vt:variant>
      <vt:variant>
        <vt:i4>5</vt:i4>
      </vt:variant>
      <vt:variant>
        <vt:lpwstr/>
      </vt:variant>
      <vt:variant>
        <vt:lpwstr>NoteFVP_C</vt:lpwstr>
      </vt:variant>
      <vt:variant>
        <vt:i4>2293772</vt:i4>
      </vt:variant>
      <vt:variant>
        <vt:i4>1482</vt:i4>
      </vt:variant>
      <vt:variant>
        <vt:i4>0</vt:i4>
      </vt:variant>
      <vt:variant>
        <vt:i4>5</vt:i4>
      </vt:variant>
      <vt:variant>
        <vt:lpwstr/>
      </vt:variant>
      <vt:variant>
        <vt:lpwstr>NoteFVP_B</vt:lpwstr>
      </vt:variant>
      <vt:variant>
        <vt:i4>2293772</vt:i4>
      </vt:variant>
      <vt:variant>
        <vt:i4>1479</vt:i4>
      </vt:variant>
      <vt:variant>
        <vt:i4>0</vt:i4>
      </vt:variant>
      <vt:variant>
        <vt:i4>5</vt:i4>
      </vt:variant>
      <vt:variant>
        <vt:lpwstr/>
      </vt:variant>
      <vt:variant>
        <vt:lpwstr>NoteFVP_A</vt:lpwstr>
      </vt:variant>
      <vt:variant>
        <vt:i4>2293772</vt:i4>
      </vt:variant>
      <vt:variant>
        <vt:i4>1476</vt:i4>
      </vt:variant>
      <vt:variant>
        <vt:i4>0</vt:i4>
      </vt:variant>
      <vt:variant>
        <vt:i4>5</vt:i4>
      </vt:variant>
      <vt:variant>
        <vt:lpwstr/>
      </vt:variant>
      <vt:variant>
        <vt:lpwstr>NoteFVP_C</vt:lpwstr>
      </vt:variant>
      <vt:variant>
        <vt:i4>2293772</vt:i4>
      </vt:variant>
      <vt:variant>
        <vt:i4>1473</vt:i4>
      </vt:variant>
      <vt:variant>
        <vt:i4>0</vt:i4>
      </vt:variant>
      <vt:variant>
        <vt:i4>5</vt:i4>
      </vt:variant>
      <vt:variant>
        <vt:lpwstr/>
      </vt:variant>
      <vt:variant>
        <vt:lpwstr>NoteFVP_B</vt:lpwstr>
      </vt:variant>
      <vt:variant>
        <vt:i4>2293772</vt:i4>
      </vt:variant>
      <vt:variant>
        <vt:i4>1470</vt:i4>
      </vt:variant>
      <vt:variant>
        <vt:i4>0</vt:i4>
      </vt:variant>
      <vt:variant>
        <vt:i4>5</vt:i4>
      </vt:variant>
      <vt:variant>
        <vt:lpwstr/>
      </vt:variant>
      <vt:variant>
        <vt:lpwstr>NoteFVP_A</vt:lpwstr>
      </vt:variant>
      <vt:variant>
        <vt:i4>3407876</vt:i4>
      </vt:variant>
      <vt:variant>
        <vt:i4>1467</vt:i4>
      </vt:variant>
      <vt:variant>
        <vt:i4>0</vt:i4>
      </vt:variant>
      <vt:variant>
        <vt:i4>5</vt:i4>
      </vt:variant>
      <vt:variant>
        <vt:lpwstr/>
      </vt:variant>
      <vt:variant>
        <vt:lpwstr>NoteRAL_A</vt:lpwstr>
      </vt:variant>
      <vt:variant>
        <vt:i4>3407876</vt:i4>
      </vt:variant>
      <vt:variant>
        <vt:i4>1464</vt:i4>
      </vt:variant>
      <vt:variant>
        <vt:i4>0</vt:i4>
      </vt:variant>
      <vt:variant>
        <vt:i4>5</vt:i4>
      </vt:variant>
      <vt:variant>
        <vt:lpwstr/>
      </vt:variant>
      <vt:variant>
        <vt:lpwstr>NoteRAL_A</vt:lpwstr>
      </vt:variant>
      <vt:variant>
        <vt:i4>3407876</vt:i4>
      </vt:variant>
      <vt:variant>
        <vt:i4>1461</vt:i4>
      </vt:variant>
      <vt:variant>
        <vt:i4>0</vt:i4>
      </vt:variant>
      <vt:variant>
        <vt:i4>5</vt:i4>
      </vt:variant>
      <vt:variant>
        <vt:lpwstr/>
      </vt:variant>
      <vt:variant>
        <vt:lpwstr>NoteRAL_A</vt:lpwstr>
      </vt:variant>
      <vt:variant>
        <vt:i4>3407876</vt:i4>
      </vt:variant>
      <vt:variant>
        <vt:i4>1458</vt:i4>
      </vt:variant>
      <vt:variant>
        <vt:i4>0</vt:i4>
      </vt:variant>
      <vt:variant>
        <vt:i4>5</vt:i4>
      </vt:variant>
      <vt:variant>
        <vt:lpwstr/>
      </vt:variant>
      <vt:variant>
        <vt:lpwstr>NoteRAL_A</vt:lpwstr>
      </vt:variant>
      <vt:variant>
        <vt:i4>6422556</vt:i4>
      </vt:variant>
      <vt:variant>
        <vt:i4>1455</vt:i4>
      </vt:variant>
      <vt:variant>
        <vt:i4>0</vt:i4>
      </vt:variant>
      <vt:variant>
        <vt:i4>5</vt:i4>
      </vt:variant>
      <vt:variant>
        <vt:lpwstr/>
      </vt:variant>
      <vt:variant>
        <vt:lpwstr>_7.8_Prospective_accounting</vt:lpwstr>
      </vt:variant>
      <vt:variant>
        <vt:i4>5963836</vt:i4>
      </vt:variant>
      <vt:variant>
        <vt:i4>1452</vt:i4>
      </vt:variant>
      <vt:variant>
        <vt:i4>0</vt:i4>
      </vt:variant>
      <vt:variant>
        <vt:i4>5</vt:i4>
      </vt:variant>
      <vt:variant>
        <vt:lpwstr/>
      </vt:variant>
      <vt:variant>
        <vt:lpwstr>_7.7_Subsequent_events</vt:lpwstr>
      </vt:variant>
      <vt:variant>
        <vt:i4>3145736</vt:i4>
      </vt:variant>
      <vt:variant>
        <vt:i4>1449</vt:i4>
      </vt:variant>
      <vt:variant>
        <vt:i4>0</vt:i4>
      </vt:variant>
      <vt:variant>
        <vt:i4>5</vt:i4>
      </vt:variant>
      <vt:variant>
        <vt:lpwstr/>
      </vt:variant>
      <vt:variant>
        <vt:lpwstr>_7.6_Ex-gratia_expenses</vt:lpwstr>
      </vt:variant>
      <vt:variant>
        <vt:i4>2293842</vt:i4>
      </vt:variant>
      <vt:variant>
        <vt:i4>1446</vt:i4>
      </vt:variant>
      <vt:variant>
        <vt:i4>0</vt:i4>
      </vt:variant>
      <vt:variant>
        <vt:i4>5</vt:i4>
      </vt:variant>
      <vt:variant>
        <vt:lpwstr/>
      </vt:variant>
      <vt:variant>
        <vt:lpwstr>_7.5_Remuneration_of</vt:lpwstr>
      </vt:variant>
      <vt:variant>
        <vt:i4>1376352</vt:i4>
      </vt:variant>
      <vt:variant>
        <vt:i4>1443</vt:i4>
      </vt:variant>
      <vt:variant>
        <vt:i4>0</vt:i4>
      </vt:variant>
      <vt:variant>
        <vt:i4>5</vt:i4>
      </vt:variant>
      <vt:variant>
        <vt:lpwstr/>
      </vt:variant>
      <vt:variant>
        <vt:lpwstr>_7.4_Related_Parties</vt:lpwstr>
      </vt:variant>
      <vt:variant>
        <vt:i4>2424914</vt:i4>
      </vt:variant>
      <vt:variant>
        <vt:i4>1440</vt:i4>
      </vt:variant>
      <vt:variant>
        <vt:i4>0</vt:i4>
      </vt:variant>
      <vt:variant>
        <vt:i4>5</vt:i4>
      </vt:variant>
      <vt:variant>
        <vt:lpwstr/>
      </vt:variant>
      <vt:variant>
        <vt:lpwstr>_7.3_Remuneration_of</vt:lpwstr>
      </vt:variant>
      <vt:variant>
        <vt:i4>65655</vt:i4>
      </vt:variant>
      <vt:variant>
        <vt:i4>1437</vt:i4>
      </vt:variant>
      <vt:variant>
        <vt:i4>0</vt:i4>
      </vt:variant>
      <vt:variant>
        <vt:i4>5</vt:i4>
      </vt:variant>
      <vt:variant>
        <vt:lpwstr/>
      </vt:variant>
      <vt:variant>
        <vt:lpwstr>_7.2_Responsible_persons</vt:lpwstr>
      </vt:variant>
      <vt:variant>
        <vt:i4>2621527</vt:i4>
      </vt:variant>
      <vt:variant>
        <vt:i4>1434</vt:i4>
      </vt:variant>
      <vt:variant>
        <vt:i4>0</vt:i4>
      </vt:variant>
      <vt:variant>
        <vt:i4>5</vt:i4>
      </vt:variant>
      <vt:variant>
        <vt:lpwstr/>
      </vt:variant>
      <vt:variant>
        <vt:lpwstr>_7.1_Superannuation_-</vt:lpwstr>
      </vt:variant>
      <vt:variant>
        <vt:i4>6684743</vt:i4>
      </vt:variant>
      <vt:variant>
        <vt:i4>1431</vt:i4>
      </vt:variant>
      <vt:variant>
        <vt:i4>0</vt:i4>
      </vt:variant>
      <vt:variant>
        <vt:i4>5</vt:i4>
      </vt:variant>
      <vt:variant>
        <vt:lpwstr/>
      </vt:variant>
      <vt:variant>
        <vt:lpwstr>NoteCAAL_A</vt:lpwstr>
      </vt:variant>
      <vt:variant>
        <vt:i4>2555926</vt:i4>
      </vt:variant>
      <vt:variant>
        <vt:i4>1428</vt:i4>
      </vt:variant>
      <vt:variant>
        <vt:i4>0</vt:i4>
      </vt:variant>
      <vt:variant>
        <vt:i4>5</vt:i4>
      </vt:variant>
      <vt:variant>
        <vt:lpwstr/>
      </vt:variant>
      <vt:variant>
        <vt:lpwstr>NoteIRE_A</vt:lpwstr>
      </vt:variant>
      <vt:variant>
        <vt:i4>5373996</vt:i4>
      </vt:variant>
      <vt:variant>
        <vt:i4>1425</vt:i4>
      </vt:variant>
      <vt:variant>
        <vt:i4>0</vt:i4>
      </vt:variant>
      <vt:variant>
        <vt:i4>5</vt:i4>
      </vt:variant>
      <vt:variant>
        <vt:lpwstr/>
      </vt:variant>
      <vt:variant>
        <vt:lpwstr>_6.3_Contingent_assets</vt:lpwstr>
      </vt:variant>
      <vt:variant>
        <vt:i4>4194343</vt:i4>
      </vt:variant>
      <vt:variant>
        <vt:i4>1422</vt:i4>
      </vt:variant>
      <vt:variant>
        <vt:i4>0</vt:i4>
      </vt:variant>
      <vt:variant>
        <vt:i4>5</vt:i4>
      </vt:variant>
      <vt:variant>
        <vt:lpwstr/>
      </vt:variant>
      <vt:variant>
        <vt:lpwstr>_6.2_Fair_value</vt:lpwstr>
      </vt:variant>
      <vt:variant>
        <vt:i4>8126469</vt:i4>
      </vt:variant>
      <vt:variant>
        <vt:i4>1419</vt:i4>
      </vt:variant>
      <vt:variant>
        <vt:i4>0</vt:i4>
      </vt:variant>
      <vt:variant>
        <vt:i4>5</vt:i4>
      </vt:variant>
      <vt:variant>
        <vt:lpwstr/>
      </vt:variant>
      <vt:variant>
        <vt:lpwstr>_6.1_Financial_instruments</vt:lpwstr>
      </vt:variant>
      <vt:variant>
        <vt:i4>3538949</vt:i4>
      </vt:variant>
      <vt:variant>
        <vt:i4>1416</vt:i4>
      </vt:variant>
      <vt:variant>
        <vt:i4>0</vt:i4>
      </vt:variant>
      <vt:variant>
        <vt:i4>5</vt:i4>
      </vt:variant>
      <vt:variant>
        <vt:lpwstr/>
      </vt:variant>
      <vt:variant>
        <vt:lpwstr>NoteOCP_A</vt:lpwstr>
      </vt:variant>
      <vt:variant>
        <vt:i4>3211292</vt:i4>
      </vt:variant>
      <vt:variant>
        <vt:i4>1413</vt:i4>
      </vt:variant>
      <vt:variant>
        <vt:i4>0</vt:i4>
      </vt:variant>
      <vt:variant>
        <vt:i4>5</vt:i4>
      </vt:variant>
      <vt:variant>
        <vt:lpwstr/>
      </vt:variant>
      <vt:variant>
        <vt:lpwstr>NoteVDP_A</vt:lpwstr>
      </vt:variant>
      <vt:variant>
        <vt:i4>4063326</vt:i4>
      </vt:variant>
      <vt:variant>
        <vt:i4>1410</vt:i4>
      </vt:variant>
      <vt:variant>
        <vt:i4>0</vt:i4>
      </vt:variant>
      <vt:variant>
        <vt:i4>5</vt:i4>
      </vt:variant>
      <vt:variant>
        <vt:lpwstr/>
      </vt:variant>
      <vt:variant>
        <vt:lpwstr>_5.1_Interest_bearing</vt:lpwstr>
      </vt:variant>
      <vt:variant>
        <vt:i4>3211292</vt:i4>
      </vt:variant>
      <vt:variant>
        <vt:i4>1407</vt:i4>
      </vt:variant>
      <vt:variant>
        <vt:i4>0</vt:i4>
      </vt:variant>
      <vt:variant>
        <vt:i4>5</vt:i4>
      </vt:variant>
      <vt:variant>
        <vt:lpwstr/>
      </vt:variant>
      <vt:variant>
        <vt:lpwstr>NoteVDP_A</vt:lpwstr>
      </vt:variant>
      <vt:variant>
        <vt:i4>4063326</vt:i4>
      </vt:variant>
      <vt:variant>
        <vt:i4>1404</vt:i4>
      </vt:variant>
      <vt:variant>
        <vt:i4>0</vt:i4>
      </vt:variant>
      <vt:variant>
        <vt:i4>5</vt:i4>
      </vt:variant>
      <vt:variant>
        <vt:lpwstr/>
      </vt:variant>
      <vt:variant>
        <vt:lpwstr>_5.1_Interest_bearing</vt:lpwstr>
      </vt:variant>
      <vt:variant>
        <vt:i4>1114185</vt:i4>
      </vt:variant>
      <vt:variant>
        <vt:i4>1401</vt:i4>
      </vt:variant>
      <vt:variant>
        <vt:i4>0</vt:i4>
      </vt:variant>
      <vt:variant>
        <vt:i4>5</vt:i4>
      </vt:variant>
      <vt:variant>
        <vt:lpwstr/>
      </vt:variant>
      <vt:variant>
        <vt:lpwstr>_5.3_Commitments</vt:lpwstr>
      </vt:variant>
      <vt:variant>
        <vt:i4>5439534</vt:i4>
      </vt:variant>
      <vt:variant>
        <vt:i4>1398</vt:i4>
      </vt:variant>
      <vt:variant>
        <vt:i4>0</vt:i4>
      </vt:variant>
      <vt:variant>
        <vt:i4>5</vt:i4>
      </vt:variant>
      <vt:variant>
        <vt:lpwstr/>
      </vt:variant>
      <vt:variant>
        <vt:lpwstr>_5.2_Cash_flow</vt:lpwstr>
      </vt:variant>
      <vt:variant>
        <vt:i4>4063326</vt:i4>
      </vt:variant>
      <vt:variant>
        <vt:i4>1395</vt:i4>
      </vt:variant>
      <vt:variant>
        <vt:i4>0</vt:i4>
      </vt:variant>
      <vt:variant>
        <vt:i4>5</vt:i4>
      </vt:variant>
      <vt:variant>
        <vt:lpwstr/>
      </vt:variant>
      <vt:variant>
        <vt:lpwstr>_5.1_Interest_bearing</vt:lpwstr>
      </vt:variant>
      <vt:variant>
        <vt:i4>7536649</vt:i4>
      </vt:variant>
      <vt:variant>
        <vt:i4>1392</vt:i4>
      </vt:variant>
      <vt:variant>
        <vt:i4>0</vt:i4>
      </vt:variant>
      <vt:variant>
        <vt:i4>5</vt:i4>
      </vt:variant>
      <vt:variant>
        <vt:lpwstr/>
      </vt:variant>
      <vt:variant>
        <vt:lpwstr>_4.1.2_Fair_value</vt:lpwstr>
      </vt:variant>
      <vt:variant>
        <vt:i4>6881292</vt:i4>
      </vt:variant>
      <vt:variant>
        <vt:i4>1389</vt:i4>
      </vt:variant>
      <vt:variant>
        <vt:i4>0</vt:i4>
      </vt:variant>
      <vt:variant>
        <vt:i4>5</vt:i4>
      </vt:variant>
      <vt:variant>
        <vt:lpwstr/>
      </vt:variant>
      <vt:variant>
        <vt:lpwstr>_4.1.1_Reconciliation_of</vt:lpwstr>
      </vt:variant>
      <vt:variant>
        <vt:i4>6750302</vt:i4>
      </vt:variant>
      <vt:variant>
        <vt:i4>1386</vt:i4>
      </vt:variant>
      <vt:variant>
        <vt:i4>0</vt:i4>
      </vt:variant>
      <vt:variant>
        <vt:i4>5</vt:i4>
      </vt:variant>
      <vt:variant>
        <vt:lpwstr/>
      </vt:variant>
      <vt:variant>
        <vt:lpwstr>NoteRMIA_A</vt:lpwstr>
      </vt:variant>
      <vt:variant>
        <vt:i4>131119</vt:i4>
      </vt:variant>
      <vt:variant>
        <vt:i4>1383</vt:i4>
      </vt:variant>
      <vt:variant>
        <vt:i4>0</vt:i4>
      </vt:variant>
      <vt:variant>
        <vt:i4>5</vt:i4>
      </vt:variant>
      <vt:variant>
        <vt:lpwstr/>
      </vt:variant>
      <vt:variant>
        <vt:lpwstr>_4.3_Non-financial_assets</vt:lpwstr>
      </vt:variant>
      <vt:variant>
        <vt:i4>6553665</vt:i4>
      </vt:variant>
      <vt:variant>
        <vt:i4>1380</vt:i4>
      </vt:variant>
      <vt:variant>
        <vt:i4>0</vt:i4>
      </vt:variant>
      <vt:variant>
        <vt:i4>5</vt:i4>
      </vt:variant>
      <vt:variant>
        <vt:lpwstr/>
      </vt:variant>
      <vt:variant>
        <vt:lpwstr>_4.1.2.1_Non-financial_physical</vt:lpwstr>
      </vt:variant>
      <vt:variant>
        <vt:i4>7995456</vt:i4>
      </vt:variant>
      <vt:variant>
        <vt:i4>1377</vt:i4>
      </vt:variant>
      <vt:variant>
        <vt:i4>0</vt:i4>
      </vt:variant>
      <vt:variant>
        <vt:i4>5</vt:i4>
      </vt:variant>
      <vt:variant>
        <vt:lpwstr/>
      </vt:variant>
      <vt:variant>
        <vt:lpwstr>_3.10_Other_current</vt:lpwstr>
      </vt:variant>
      <vt:variant>
        <vt:i4>3735643</vt:i4>
      </vt:variant>
      <vt:variant>
        <vt:i4>1374</vt:i4>
      </vt:variant>
      <vt:variant>
        <vt:i4>0</vt:i4>
      </vt:variant>
      <vt:variant>
        <vt:i4>5</vt:i4>
      </vt:variant>
      <vt:variant>
        <vt:lpwstr/>
      </vt:variant>
      <vt:variant>
        <vt:lpwstr>NoteRL3_A</vt:lpwstr>
      </vt:variant>
      <vt:variant>
        <vt:i4>3735643</vt:i4>
      </vt:variant>
      <vt:variant>
        <vt:i4>1371</vt:i4>
      </vt:variant>
      <vt:variant>
        <vt:i4>0</vt:i4>
      </vt:variant>
      <vt:variant>
        <vt:i4>5</vt:i4>
      </vt:variant>
      <vt:variant>
        <vt:lpwstr/>
      </vt:variant>
      <vt:variant>
        <vt:lpwstr>NoteRL3_A</vt:lpwstr>
      </vt:variant>
      <vt:variant>
        <vt:i4>6815832</vt:i4>
      </vt:variant>
      <vt:variant>
        <vt:i4>1368</vt:i4>
      </vt:variant>
      <vt:variant>
        <vt:i4>0</vt:i4>
      </vt:variant>
      <vt:variant>
        <vt:i4>5</vt:i4>
      </vt:variant>
      <vt:variant>
        <vt:lpwstr/>
      </vt:variant>
      <vt:variant>
        <vt:lpwstr>NoteNFPA2017_B</vt:lpwstr>
      </vt:variant>
      <vt:variant>
        <vt:i4>7012440</vt:i4>
      </vt:variant>
      <vt:variant>
        <vt:i4>1365</vt:i4>
      </vt:variant>
      <vt:variant>
        <vt:i4>0</vt:i4>
      </vt:variant>
      <vt:variant>
        <vt:i4>5</vt:i4>
      </vt:variant>
      <vt:variant>
        <vt:lpwstr/>
      </vt:variant>
      <vt:variant>
        <vt:lpwstr>NoteNFPA2017_A</vt:lpwstr>
      </vt:variant>
      <vt:variant>
        <vt:i4>6815832</vt:i4>
      </vt:variant>
      <vt:variant>
        <vt:i4>1362</vt:i4>
      </vt:variant>
      <vt:variant>
        <vt:i4>0</vt:i4>
      </vt:variant>
      <vt:variant>
        <vt:i4>5</vt:i4>
      </vt:variant>
      <vt:variant>
        <vt:lpwstr/>
      </vt:variant>
      <vt:variant>
        <vt:lpwstr>NoteNFPA2017_B</vt:lpwstr>
      </vt:variant>
      <vt:variant>
        <vt:i4>7012440</vt:i4>
      </vt:variant>
      <vt:variant>
        <vt:i4>1359</vt:i4>
      </vt:variant>
      <vt:variant>
        <vt:i4>0</vt:i4>
      </vt:variant>
      <vt:variant>
        <vt:i4>5</vt:i4>
      </vt:variant>
      <vt:variant>
        <vt:lpwstr/>
      </vt:variant>
      <vt:variant>
        <vt:lpwstr>NoteNFPA2017_A</vt:lpwstr>
      </vt:variant>
      <vt:variant>
        <vt:i4>7012440</vt:i4>
      </vt:variant>
      <vt:variant>
        <vt:i4>1356</vt:i4>
      </vt:variant>
      <vt:variant>
        <vt:i4>0</vt:i4>
      </vt:variant>
      <vt:variant>
        <vt:i4>5</vt:i4>
      </vt:variant>
      <vt:variant>
        <vt:lpwstr/>
      </vt:variant>
      <vt:variant>
        <vt:lpwstr>NoteNFPA2017_A</vt:lpwstr>
      </vt:variant>
      <vt:variant>
        <vt:i4>7012440</vt:i4>
      </vt:variant>
      <vt:variant>
        <vt:i4>1353</vt:i4>
      </vt:variant>
      <vt:variant>
        <vt:i4>0</vt:i4>
      </vt:variant>
      <vt:variant>
        <vt:i4>5</vt:i4>
      </vt:variant>
      <vt:variant>
        <vt:lpwstr/>
      </vt:variant>
      <vt:variant>
        <vt:lpwstr>NoteNFPA2017_A</vt:lpwstr>
      </vt:variant>
      <vt:variant>
        <vt:i4>7012440</vt:i4>
      </vt:variant>
      <vt:variant>
        <vt:i4>1350</vt:i4>
      </vt:variant>
      <vt:variant>
        <vt:i4>0</vt:i4>
      </vt:variant>
      <vt:variant>
        <vt:i4>5</vt:i4>
      </vt:variant>
      <vt:variant>
        <vt:lpwstr/>
      </vt:variant>
      <vt:variant>
        <vt:lpwstr>NoteNFPA2017_A</vt:lpwstr>
      </vt:variant>
      <vt:variant>
        <vt:i4>7077979</vt:i4>
      </vt:variant>
      <vt:variant>
        <vt:i4>1347</vt:i4>
      </vt:variant>
      <vt:variant>
        <vt:i4>0</vt:i4>
      </vt:variant>
      <vt:variant>
        <vt:i4>5</vt:i4>
      </vt:variant>
      <vt:variant>
        <vt:lpwstr/>
      </vt:variant>
      <vt:variant>
        <vt:lpwstr>NoteNFPA_A</vt:lpwstr>
      </vt:variant>
      <vt:variant>
        <vt:i4>7077979</vt:i4>
      </vt:variant>
      <vt:variant>
        <vt:i4>1344</vt:i4>
      </vt:variant>
      <vt:variant>
        <vt:i4>0</vt:i4>
      </vt:variant>
      <vt:variant>
        <vt:i4>5</vt:i4>
      </vt:variant>
      <vt:variant>
        <vt:lpwstr/>
      </vt:variant>
      <vt:variant>
        <vt:lpwstr>NoteNFPA_A</vt:lpwstr>
      </vt:variant>
      <vt:variant>
        <vt:i4>7077979</vt:i4>
      </vt:variant>
      <vt:variant>
        <vt:i4>1341</vt:i4>
      </vt:variant>
      <vt:variant>
        <vt:i4>0</vt:i4>
      </vt:variant>
      <vt:variant>
        <vt:i4>5</vt:i4>
      </vt:variant>
      <vt:variant>
        <vt:lpwstr/>
      </vt:variant>
      <vt:variant>
        <vt:lpwstr>NoteNFPA_A</vt:lpwstr>
      </vt:variant>
      <vt:variant>
        <vt:i4>5963884</vt:i4>
      </vt:variant>
      <vt:variant>
        <vt:i4>1338</vt:i4>
      </vt:variant>
      <vt:variant>
        <vt:i4>0</vt:i4>
      </vt:variant>
      <vt:variant>
        <vt:i4>5</vt:i4>
      </vt:variant>
      <vt:variant>
        <vt:lpwstr/>
      </vt:variant>
      <vt:variant>
        <vt:lpwstr>NoteAASOD_A</vt:lpwstr>
      </vt:variant>
      <vt:variant>
        <vt:i4>4849703</vt:i4>
      </vt:variant>
      <vt:variant>
        <vt:i4>1335</vt:i4>
      </vt:variant>
      <vt:variant>
        <vt:i4>0</vt:i4>
      </vt:variant>
      <vt:variant>
        <vt:i4>5</vt:i4>
      </vt:variant>
      <vt:variant>
        <vt:lpwstr/>
      </vt:variant>
      <vt:variant>
        <vt:lpwstr>_4.2_Intangible_assets</vt:lpwstr>
      </vt:variant>
      <vt:variant>
        <vt:i4>4849703</vt:i4>
      </vt:variant>
      <vt:variant>
        <vt:i4>1332</vt:i4>
      </vt:variant>
      <vt:variant>
        <vt:i4>0</vt:i4>
      </vt:variant>
      <vt:variant>
        <vt:i4>5</vt:i4>
      </vt:variant>
      <vt:variant>
        <vt:lpwstr/>
      </vt:variant>
      <vt:variant>
        <vt:lpwstr>_4.2_Intangible_assets</vt:lpwstr>
      </vt:variant>
      <vt:variant>
        <vt:i4>4653178</vt:i4>
      </vt:variant>
      <vt:variant>
        <vt:i4>1329</vt:i4>
      </vt:variant>
      <vt:variant>
        <vt:i4>0</vt:i4>
      </vt:variant>
      <vt:variant>
        <vt:i4>5</vt:i4>
      </vt:variant>
      <vt:variant>
        <vt:lpwstr/>
      </vt:variant>
      <vt:variant>
        <vt:lpwstr>NoteLBIPE_C</vt:lpwstr>
      </vt:variant>
      <vt:variant>
        <vt:i4>4653178</vt:i4>
      </vt:variant>
      <vt:variant>
        <vt:i4>1326</vt:i4>
      </vt:variant>
      <vt:variant>
        <vt:i4>0</vt:i4>
      </vt:variant>
      <vt:variant>
        <vt:i4>5</vt:i4>
      </vt:variant>
      <vt:variant>
        <vt:lpwstr/>
      </vt:variant>
      <vt:variant>
        <vt:lpwstr>NoteLBIPE_D</vt:lpwstr>
      </vt:variant>
      <vt:variant>
        <vt:i4>4653178</vt:i4>
      </vt:variant>
      <vt:variant>
        <vt:i4>1323</vt:i4>
      </vt:variant>
      <vt:variant>
        <vt:i4>0</vt:i4>
      </vt:variant>
      <vt:variant>
        <vt:i4>5</vt:i4>
      </vt:variant>
      <vt:variant>
        <vt:lpwstr/>
      </vt:variant>
      <vt:variant>
        <vt:lpwstr>NoteLBIPE_B</vt:lpwstr>
      </vt:variant>
      <vt:variant>
        <vt:i4>4653178</vt:i4>
      </vt:variant>
      <vt:variant>
        <vt:i4>1320</vt:i4>
      </vt:variant>
      <vt:variant>
        <vt:i4>0</vt:i4>
      </vt:variant>
      <vt:variant>
        <vt:i4>5</vt:i4>
      </vt:variant>
      <vt:variant>
        <vt:lpwstr/>
      </vt:variant>
      <vt:variant>
        <vt:lpwstr>NoteLBIPE_C</vt:lpwstr>
      </vt:variant>
      <vt:variant>
        <vt:i4>4653178</vt:i4>
      </vt:variant>
      <vt:variant>
        <vt:i4>1317</vt:i4>
      </vt:variant>
      <vt:variant>
        <vt:i4>0</vt:i4>
      </vt:variant>
      <vt:variant>
        <vt:i4>5</vt:i4>
      </vt:variant>
      <vt:variant>
        <vt:lpwstr/>
      </vt:variant>
      <vt:variant>
        <vt:lpwstr>NoteLBIPE_A</vt:lpwstr>
      </vt:variant>
      <vt:variant>
        <vt:i4>4653178</vt:i4>
      </vt:variant>
      <vt:variant>
        <vt:i4>1314</vt:i4>
      </vt:variant>
      <vt:variant>
        <vt:i4>0</vt:i4>
      </vt:variant>
      <vt:variant>
        <vt:i4>5</vt:i4>
      </vt:variant>
      <vt:variant>
        <vt:lpwstr/>
      </vt:variant>
      <vt:variant>
        <vt:lpwstr>NoteLBIPE_B</vt:lpwstr>
      </vt:variant>
      <vt:variant>
        <vt:i4>4653178</vt:i4>
      </vt:variant>
      <vt:variant>
        <vt:i4>1311</vt:i4>
      </vt:variant>
      <vt:variant>
        <vt:i4>0</vt:i4>
      </vt:variant>
      <vt:variant>
        <vt:i4>5</vt:i4>
      </vt:variant>
      <vt:variant>
        <vt:lpwstr/>
      </vt:variant>
      <vt:variant>
        <vt:lpwstr>NoteLBIPE_A</vt:lpwstr>
      </vt:variant>
      <vt:variant>
        <vt:i4>131119</vt:i4>
      </vt:variant>
      <vt:variant>
        <vt:i4>1308</vt:i4>
      </vt:variant>
      <vt:variant>
        <vt:i4>0</vt:i4>
      </vt:variant>
      <vt:variant>
        <vt:i4>5</vt:i4>
      </vt:variant>
      <vt:variant>
        <vt:lpwstr/>
      </vt:variant>
      <vt:variant>
        <vt:lpwstr>_4.3_Non-financial_assets</vt:lpwstr>
      </vt:variant>
      <vt:variant>
        <vt:i4>4849703</vt:i4>
      </vt:variant>
      <vt:variant>
        <vt:i4>1305</vt:i4>
      </vt:variant>
      <vt:variant>
        <vt:i4>0</vt:i4>
      </vt:variant>
      <vt:variant>
        <vt:i4>5</vt:i4>
      </vt:variant>
      <vt:variant>
        <vt:lpwstr/>
      </vt:variant>
      <vt:variant>
        <vt:lpwstr>_4.2_Intangible_assets</vt:lpwstr>
      </vt:variant>
      <vt:variant>
        <vt:i4>5832803</vt:i4>
      </vt:variant>
      <vt:variant>
        <vt:i4>1302</vt:i4>
      </vt:variant>
      <vt:variant>
        <vt:i4>0</vt:i4>
      </vt:variant>
      <vt:variant>
        <vt:i4>5</vt:i4>
      </vt:variant>
      <vt:variant>
        <vt:lpwstr/>
      </vt:variant>
      <vt:variant>
        <vt:lpwstr>_4.1_Land,_buildings,</vt:lpwstr>
      </vt:variant>
      <vt:variant>
        <vt:i4>917546</vt:i4>
      </vt:variant>
      <vt:variant>
        <vt:i4>1299</vt:i4>
      </vt:variant>
      <vt:variant>
        <vt:i4>0</vt:i4>
      </vt:variant>
      <vt:variant>
        <vt:i4>5</vt:i4>
      </vt:variant>
      <vt:variant>
        <vt:lpwstr/>
      </vt:variant>
      <vt:variant>
        <vt:lpwstr>NoteOE_A</vt:lpwstr>
      </vt:variant>
      <vt:variant>
        <vt:i4>917546</vt:i4>
      </vt:variant>
      <vt:variant>
        <vt:i4>1296</vt:i4>
      </vt:variant>
      <vt:variant>
        <vt:i4>0</vt:i4>
      </vt:variant>
      <vt:variant>
        <vt:i4>5</vt:i4>
      </vt:variant>
      <vt:variant>
        <vt:lpwstr/>
      </vt:variant>
      <vt:variant>
        <vt:lpwstr>NoteOE_A</vt:lpwstr>
      </vt:variant>
      <vt:variant>
        <vt:i4>3538993</vt:i4>
      </vt:variant>
      <vt:variant>
        <vt:i4>1293</vt:i4>
      </vt:variant>
      <vt:variant>
        <vt:i4>0</vt:i4>
      </vt:variant>
      <vt:variant>
        <vt:i4>5</vt:i4>
      </vt:variant>
      <vt:variant>
        <vt:lpwstr/>
      </vt:variant>
      <vt:variant>
        <vt:lpwstr>_3.11_Provisions</vt:lpwstr>
      </vt:variant>
      <vt:variant>
        <vt:i4>7995456</vt:i4>
      </vt:variant>
      <vt:variant>
        <vt:i4>1290</vt:i4>
      </vt:variant>
      <vt:variant>
        <vt:i4>0</vt:i4>
      </vt:variant>
      <vt:variant>
        <vt:i4>5</vt:i4>
      </vt:variant>
      <vt:variant>
        <vt:lpwstr/>
      </vt:variant>
      <vt:variant>
        <vt:lpwstr>_3.10_Other_current</vt:lpwstr>
      </vt:variant>
      <vt:variant>
        <vt:i4>8323081</vt:i4>
      </vt:variant>
      <vt:variant>
        <vt:i4>1287</vt:i4>
      </vt:variant>
      <vt:variant>
        <vt:i4>0</vt:i4>
      </vt:variant>
      <vt:variant>
        <vt:i4>5</vt:i4>
      </vt:variant>
      <vt:variant>
        <vt:lpwstr/>
      </vt:variant>
      <vt:variant>
        <vt:lpwstr>_3.9_Trade_and</vt:lpwstr>
      </vt:variant>
      <vt:variant>
        <vt:i4>6094891</vt:i4>
      </vt:variant>
      <vt:variant>
        <vt:i4>1284</vt:i4>
      </vt:variant>
      <vt:variant>
        <vt:i4>0</vt:i4>
      </vt:variant>
      <vt:variant>
        <vt:i4>5</vt:i4>
      </vt:variant>
      <vt:variant>
        <vt:lpwstr/>
      </vt:variant>
      <vt:variant>
        <vt:lpwstr>_3.8_Income_and</vt:lpwstr>
      </vt:variant>
      <vt:variant>
        <vt:i4>7274510</vt:i4>
      </vt:variant>
      <vt:variant>
        <vt:i4>1281</vt:i4>
      </vt:variant>
      <vt:variant>
        <vt:i4>0</vt:i4>
      </vt:variant>
      <vt:variant>
        <vt:i4>5</vt:i4>
      </vt:variant>
      <vt:variant>
        <vt:lpwstr/>
      </vt:variant>
      <vt:variant>
        <vt:lpwstr>_3.7_Other_expenses</vt:lpwstr>
      </vt:variant>
      <vt:variant>
        <vt:i4>1245295</vt:i4>
      </vt:variant>
      <vt:variant>
        <vt:i4>1278</vt:i4>
      </vt:variant>
      <vt:variant>
        <vt:i4>0</vt:i4>
      </vt:variant>
      <vt:variant>
        <vt:i4>5</vt:i4>
      </vt:variant>
      <vt:variant>
        <vt:lpwstr/>
      </vt:variant>
      <vt:variant>
        <vt:lpwstr>_3.6_Asset_transfers</vt:lpwstr>
      </vt:variant>
      <vt:variant>
        <vt:i4>3997789</vt:i4>
      </vt:variant>
      <vt:variant>
        <vt:i4>1275</vt:i4>
      </vt:variant>
      <vt:variant>
        <vt:i4>0</vt:i4>
      </vt:variant>
      <vt:variant>
        <vt:i4>5</vt:i4>
      </vt:variant>
      <vt:variant>
        <vt:lpwstr/>
      </vt:variant>
      <vt:variant>
        <vt:lpwstr>_3.5_Government_rates</vt:lpwstr>
      </vt:variant>
      <vt:variant>
        <vt:i4>2359373</vt:i4>
      </vt:variant>
      <vt:variant>
        <vt:i4>1272</vt:i4>
      </vt:variant>
      <vt:variant>
        <vt:i4>0</vt:i4>
      </vt:variant>
      <vt:variant>
        <vt:i4>5</vt:i4>
      </vt:variant>
      <vt:variant>
        <vt:lpwstr/>
      </vt:variant>
      <vt:variant>
        <vt:lpwstr>_3.4_Administrative_expenses</vt:lpwstr>
      </vt:variant>
      <vt:variant>
        <vt:i4>1900649</vt:i4>
      </vt:variant>
      <vt:variant>
        <vt:i4>1269</vt:i4>
      </vt:variant>
      <vt:variant>
        <vt:i4>0</vt:i4>
      </vt:variant>
      <vt:variant>
        <vt:i4>5</vt:i4>
      </vt:variant>
      <vt:variant>
        <vt:lpwstr/>
      </vt:variant>
      <vt:variant>
        <vt:lpwstr>_3.3_Repairs_and</vt:lpwstr>
      </vt:variant>
      <vt:variant>
        <vt:i4>5963821</vt:i4>
      </vt:variant>
      <vt:variant>
        <vt:i4>1266</vt:i4>
      </vt:variant>
      <vt:variant>
        <vt:i4>0</vt:i4>
      </vt:variant>
      <vt:variant>
        <vt:i4>5</vt:i4>
      </vt:variant>
      <vt:variant>
        <vt:lpwstr/>
      </vt:variant>
      <vt:variant>
        <vt:lpwstr>_3.2_Employee_benefits</vt:lpwstr>
      </vt:variant>
      <vt:variant>
        <vt:i4>1835111</vt:i4>
      </vt:variant>
      <vt:variant>
        <vt:i4>1263</vt:i4>
      </vt:variant>
      <vt:variant>
        <vt:i4>0</vt:i4>
      </vt:variant>
      <vt:variant>
        <vt:i4>5</vt:i4>
      </vt:variant>
      <vt:variant>
        <vt:lpwstr/>
      </vt:variant>
      <vt:variant>
        <vt:lpwstr>_3.1_Operational_expenses</vt:lpwstr>
      </vt:variant>
      <vt:variant>
        <vt:i4>458847</vt:i4>
      </vt:variant>
      <vt:variant>
        <vt:i4>1260</vt:i4>
      </vt:variant>
      <vt:variant>
        <vt:i4>0</vt:i4>
      </vt:variant>
      <vt:variant>
        <vt:i4>5</vt:i4>
      </vt:variant>
      <vt:variant>
        <vt:lpwstr/>
      </vt:variant>
      <vt:variant>
        <vt:lpwstr>_2.3_Receivables</vt:lpwstr>
      </vt:variant>
      <vt:variant>
        <vt:i4>1179745</vt:i4>
      </vt:variant>
      <vt:variant>
        <vt:i4>1257</vt:i4>
      </vt:variant>
      <vt:variant>
        <vt:i4>0</vt:i4>
      </vt:variant>
      <vt:variant>
        <vt:i4>5</vt:i4>
      </vt:variant>
      <vt:variant>
        <vt:lpwstr/>
      </vt:variant>
      <vt:variant>
        <vt:lpwstr>_2.2_Other_Income</vt:lpwstr>
      </vt:variant>
      <vt:variant>
        <vt:i4>786523</vt:i4>
      </vt:variant>
      <vt:variant>
        <vt:i4>1254</vt:i4>
      </vt:variant>
      <vt:variant>
        <vt:i4>0</vt:i4>
      </vt:variant>
      <vt:variant>
        <vt:i4>5</vt:i4>
      </vt:variant>
      <vt:variant>
        <vt:lpwstr/>
      </vt:variant>
      <vt:variant>
        <vt:lpwstr>_2.1_Revenue</vt:lpwstr>
      </vt:variant>
      <vt:variant>
        <vt:i4>1114185</vt:i4>
      </vt:variant>
      <vt:variant>
        <vt:i4>1251</vt:i4>
      </vt:variant>
      <vt:variant>
        <vt:i4>0</vt:i4>
      </vt:variant>
      <vt:variant>
        <vt:i4>5</vt:i4>
      </vt:variant>
      <vt:variant>
        <vt:lpwstr/>
      </vt:variant>
      <vt:variant>
        <vt:lpwstr>_5.3_Commitments</vt:lpwstr>
      </vt:variant>
      <vt:variant>
        <vt:i4>5373996</vt:i4>
      </vt:variant>
      <vt:variant>
        <vt:i4>1248</vt:i4>
      </vt:variant>
      <vt:variant>
        <vt:i4>0</vt:i4>
      </vt:variant>
      <vt:variant>
        <vt:i4>5</vt:i4>
      </vt:variant>
      <vt:variant>
        <vt:lpwstr/>
      </vt:variant>
      <vt:variant>
        <vt:lpwstr>_6.3_Contingent_assets</vt:lpwstr>
      </vt:variant>
      <vt:variant>
        <vt:i4>6094891</vt:i4>
      </vt:variant>
      <vt:variant>
        <vt:i4>1245</vt:i4>
      </vt:variant>
      <vt:variant>
        <vt:i4>0</vt:i4>
      </vt:variant>
      <vt:variant>
        <vt:i4>5</vt:i4>
      </vt:variant>
      <vt:variant>
        <vt:lpwstr/>
      </vt:variant>
      <vt:variant>
        <vt:lpwstr>_3.8_Income_and</vt:lpwstr>
      </vt:variant>
      <vt:variant>
        <vt:i4>720947</vt:i4>
      </vt:variant>
      <vt:variant>
        <vt:i4>1242</vt:i4>
      </vt:variant>
      <vt:variant>
        <vt:i4>0</vt:i4>
      </vt:variant>
      <vt:variant>
        <vt:i4>5</vt:i4>
      </vt:variant>
      <vt:variant>
        <vt:lpwstr/>
      </vt:variant>
      <vt:variant>
        <vt:lpwstr>_4.1.3_Depreciation,_amortisation</vt:lpwstr>
      </vt:variant>
      <vt:variant>
        <vt:i4>3538993</vt:i4>
      </vt:variant>
      <vt:variant>
        <vt:i4>1239</vt:i4>
      </vt:variant>
      <vt:variant>
        <vt:i4>0</vt:i4>
      </vt:variant>
      <vt:variant>
        <vt:i4>5</vt:i4>
      </vt:variant>
      <vt:variant>
        <vt:lpwstr/>
      </vt:variant>
      <vt:variant>
        <vt:lpwstr>_3.11_Provisions</vt:lpwstr>
      </vt:variant>
      <vt:variant>
        <vt:i4>5963821</vt:i4>
      </vt:variant>
      <vt:variant>
        <vt:i4>1236</vt:i4>
      </vt:variant>
      <vt:variant>
        <vt:i4>0</vt:i4>
      </vt:variant>
      <vt:variant>
        <vt:i4>5</vt:i4>
      </vt:variant>
      <vt:variant>
        <vt:lpwstr/>
      </vt:variant>
      <vt:variant>
        <vt:lpwstr>_3.2_Employee_benefits</vt:lpwstr>
      </vt:variant>
      <vt:variant>
        <vt:i4>2621527</vt:i4>
      </vt:variant>
      <vt:variant>
        <vt:i4>1233</vt:i4>
      </vt:variant>
      <vt:variant>
        <vt:i4>0</vt:i4>
      </vt:variant>
      <vt:variant>
        <vt:i4>5</vt:i4>
      </vt:variant>
      <vt:variant>
        <vt:lpwstr/>
      </vt:variant>
      <vt:variant>
        <vt:lpwstr>_7.1_Superannuation_-</vt:lpwstr>
      </vt:variant>
      <vt:variant>
        <vt:i4>7536649</vt:i4>
      </vt:variant>
      <vt:variant>
        <vt:i4>1230</vt:i4>
      </vt:variant>
      <vt:variant>
        <vt:i4>0</vt:i4>
      </vt:variant>
      <vt:variant>
        <vt:i4>5</vt:i4>
      </vt:variant>
      <vt:variant>
        <vt:lpwstr/>
      </vt:variant>
      <vt:variant>
        <vt:lpwstr>_4.1.2_Fair_value</vt:lpwstr>
      </vt:variant>
      <vt:variant>
        <vt:i4>917542</vt:i4>
      </vt:variant>
      <vt:variant>
        <vt:i4>1221</vt:i4>
      </vt:variant>
      <vt:variant>
        <vt:i4>0</vt:i4>
      </vt:variant>
      <vt:variant>
        <vt:i4>5</vt:i4>
      </vt:variant>
      <vt:variant>
        <vt:lpwstr/>
      </vt:variant>
      <vt:variant>
        <vt:lpwstr>NoteCF_B</vt:lpwstr>
      </vt:variant>
      <vt:variant>
        <vt:i4>917542</vt:i4>
      </vt:variant>
      <vt:variant>
        <vt:i4>1218</vt:i4>
      </vt:variant>
      <vt:variant>
        <vt:i4>0</vt:i4>
      </vt:variant>
      <vt:variant>
        <vt:i4>5</vt:i4>
      </vt:variant>
      <vt:variant>
        <vt:lpwstr/>
      </vt:variant>
      <vt:variant>
        <vt:lpwstr>NoteCF_B</vt:lpwstr>
      </vt:variant>
      <vt:variant>
        <vt:i4>852006</vt:i4>
      </vt:variant>
      <vt:variant>
        <vt:i4>1215</vt:i4>
      </vt:variant>
      <vt:variant>
        <vt:i4>0</vt:i4>
      </vt:variant>
      <vt:variant>
        <vt:i4>5</vt:i4>
      </vt:variant>
      <vt:variant>
        <vt:lpwstr/>
      </vt:variant>
      <vt:variant>
        <vt:lpwstr>NoteCF_A</vt:lpwstr>
      </vt:variant>
      <vt:variant>
        <vt:i4>3932188</vt:i4>
      </vt:variant>
      <vt:variant>
        <vt:i4>1206</vt:i4>
      </vt:variant>
      <vt:variant>
        <vt:i4>0</vt:i4>
      </vt:variant>
      <vt:variant>
        <vt:i4>5</vt:i4>
      </vt:variant>
      <vt:variant>
        <vt:lpwstr/>
      </vt:variant>
      <vt:variant>
        <vt:lpwstr>NoteCIE_B</vt:lpwstr>
      </vt:variant>
      <vt:variant>
        <vt:i4>3932188</vt:i4>
      </vt:variant>
      <vt:variant>
        <vt:i4>1203</vt:i4>
      </vt:variant>
      <vt:variant>
        <vt:i4>0</vt:i4>
      </vt:variant>
      <vt:variant>
        <vt:i4>5</vt:i4>
      </vt:variant>
      <vt:variant>
        <vt:lpwstr/>
      </vt:variant>
      <vt:variant>
        <vt:lpwstr>NoteCIE_A</vt:lpwstr>
      </vt:variant>
      <vt:variant>
        <vt:i4>3932188</vt:i4>
      </vt:variant>
      <vt:variant>
        <vt:i4>1200</vt:i4>
      </vt:variant>
      <vt:variant>
        <vt:i4>0</vt:i4>
      </vt:variant>
      <vt:variant>
        <vt:i4>5</vt:i4>
      </vt:variant>
      <vt:variant>
        <vt:lpwstr/>
      </vt:variant>
      <vt:variant>
        <vt:lpwstr>NoteCIE_B</vt:lpwstr>
      </vt:variant>
      <vt:variant>
        <vt:i4>3932188</vt:i4>
      </vt:variant>
      <vt:variant>
        <vt:i4>1197</vt:i4>
      </vt:variant>
      <vt:variant>
        <vt:i4>0</vt:i4>
      </vt:variant>
      <vt:variant>
        <vt:i4>5</vt:i4>
      </vt:variant>
      <vt:variant>
        <vt:lpwstr/>
      </vt:variant>
      <vt:variant>
        <vt:lpwstr>NoteCIE_A</vt:lpwstr>
      </vt:variant>
      <vt:variant>
        <vt:i4>1638435</vt:i4>
      </vt:variant>
      <vt:variant>
        <vt:i4>1182</vt:i4>
      </vt:variant>
      <vt:variant>
        <vt:i4>0</vt:i4>
      </vt:variant>
      <vt:variant>
        <vt:i4>5</vt:i4>
      </vt:variant>
      <vt:variant>
        <vt:lpwstr/>
      </vt:variant>
      <vt:variant>
        <vt:lpwstr>NoteFP_C</vt:lpwstr>
      </vt:variant>
      <vt:variant>
        <vt:i4>1638435</vt:i4>
      </vt:variant>
      <vt:variant>
        <vt:i4>1179</vt:i4>
      </vt:variant>
      <vt:variant>
        <vt:i4>0</vt:i4>
      </vt:variant>
      <vt:variant>
        <vt:i4>5</vt:i4>
      </vt:variant>
      <vt:variant>
        <vt:lpwstr/>
      </vt:variant>
      <vt:variant>
        <vt:lpwstr>NoteFP_C</vt:lpwstr>
      </vt:variant>
      <vt:variant>
        <vt:i4>1572899</vt:i4>
      </vt:variant>
      <vt:variant>
        <vt:i4>1176</vt:i4>
      </vt:variant>
      <vt:variant>
        <vt:i4>0</vt:i4>
      </vt:variant>
      <vt:variant>
        <vt:i4>5</vt:i4>
      </vt:variant>
      <vt:variant>
        <vt:lpwstr/>
      </vt:variant>
      <vt:variant>
        <vt:lpwstr>NoteFP_B</vt:lpwstr>
      </vt:variant>
      <vt:variant>
        <vt:i4>1769507</vt:i4>
      </vt:variant>
      <vt:variant>
        <vt:i4>1173</vt:i4>
      </vt:variant>
      <vt:variant>
        <vt:i4>0</vt:i4>
      </vt:variant>
      <vt:variant>
        <vt:i4>5</vt:i4>
      </vt:variant>
      <vt:variant>
        <vt:lpwstr/>
      </vt:variant>
      <vt:variant>
        <vt:lpwstr>NoteFP_A</vt:lpwstr>
      </vt:variant>
      <vt:variant>
        <vt:i4>6422556</vt:i4>
      </vt:variant>
      <vt:variant>
        <vt:i4>1170</vt:i4>
      </vt:variant>
      <vt:variant>
        <vt:i4>0</vt:i4>
      </vt:variant>
      <vt:variant>
        <vt:i4>5</vt:i4>
      </vt:variant>
      <vt:variant>
        <vt:lpwstr/>
      </vt:variant>
      <vt:variant>
        <vt:lpwstr>_7.8_Prospective_accounting</vt:lpwstr>
      </vt:variant>
      <vt:variant>
        <vt:i4>5963836</vt:i4>
      </vt:variant>
      <vt:variant>
        <vt:i4>1167</vt:i4>
      </vt:variant>
      <vt:variant>
        <vt:i4>0</vt:i4>
      </vt:variant>
      <vt:variant>
        <vt:i4>5</vt:i4>
      </vt:variant>
      <vt:variant>
        <vt:lpwstr/>
      </vt:variant>
      <vt:variant>
        <vt:lpwstr>_7.7_Subsequent_events</vt:lpwstr>
      </vt:variant>
      <vt:variant>
        <vt:i4>3145736</vt:i4>
      </vt:variant>
      <vt:variant>
        <vt:i4>1164</vt:i4>
      </vt:variant>
      <vt:variant>
        <vt:i4>0</vt:i4>
      </vt:variant>
      <vt:variant>
        <vt:i4>5</vt:i4>
      </vt:variant>
      <vt:variant>
        <vt:lpwstr/>
      </vt:variant>
      <vt:variant>
        <vt:lpwstr>_7.6_Ex-gratia_expenses</vt:lpwstr>
      </vt:variant>
      <vt:variant>
        <vt:i4>2293842</vt:i4>
      </vt:variant>
      <vt:variant>
        <vt:i4>1161</vt:i4>
      </vt:variant>
      <vt:variant>
        <vt:i4>0</vt:i4>
      </vt:variant>
      <vt:variant>
        <vt:i4>5</vt:i4>
      </vt:variant>
      <vt:variant>
        <vt:lpwstr/>
      </vt:variant>
      <vt:variant>
        <vt:lpwstr>_7.5_Remuneration_of</vt:lpwstr>
      </vt:variant>
      <vt:variant>
        <vt:i4>1376352</vt:i4>
      </vt:variant>
      <vt:variant>
        <vt:i4>1158</vt:i4>
      </vt:variant>
      <vt:variant>
        <vt:i4>0</vt:i4>
      </vt:variant>
      <vt:variant>
        <vt:i4>5</vt:i4>
      </vt:variant>
      <vt:variant>
        <vt:lpwstr/>
      </vt:variant>
      <vt:variant>
        <vt:lpwstr>_7.4_Related_Parties</vt:lpwstr>
      </vt:variant>
      <vt:variant>
        <vt:i4>2424914</vt:i4>
      </vt:variant>
      <vt:variant>
        <vt:i4>1155</vt:i4>
      </vt:variant>
      <vt:variant>
        <vt:i4>0</vt:i4>
      </vt:variant>
      <vt:variant>
        <vt:i4>5</vt:i4>
      </vt:variant>
      <vt:variant>
        <vt:lpwstr/>
      </vt:variant>
      <vt:variant>
        <vt:lpwstr>_7.3_Remuneration_of</vt:lpwstr>
      </vt:variant>
      <vt:variant>
        <vt:i4>65655</vt:i4>
      </vt:variant>
      <vt:variant>
        <vt:i4>1152</vt:i4>
      </vt:variant>
      <vt:variant>
        <vt:i4>0</vt:i4>
      </vt:variant>
      <vt:variant>
        <vt:i4>5</vt:i4>
      </vt:variant>
      <vt:variant>
        <vt:lpwstr/>
      </vt:variant>
      <vt:variant>
        <vt:lpwstr>_7.2_Responsible_persons</vt:lpwstr>
      </vt:variant>
      <vt:variant>
        <vt:i4>2621527</vt:i4>
      </vt:variant>
      <vt:variant>
        <vt:i4>1149</vt:i4>
      </vt:variant>
      <vt:variant>
        <vt:i4>0</vt:i4>
      </vt:variant>
      <vt:variant>
        <vt:i4>5</vt:i4>
      </vt:variant>
      <vt:variant>
        <vt:lpwstr/>
      </vt:variant>
      <vt:variant>
        <vt:lpwstr>_7.1_Superannuation_-</vt:lpwstr>
      </vt:variant>
      <vt:variant>
        <vt:i4>8126564</vt:i4>
      </vt:variant>
      <vt:variant>
        <vt:i4>1146</vt:i4>
      </vt:variant>
      <vt:variant>
        <vt:i4>0</vt:i4>
      </vt:variant>
      <vt:variant>
        <vt:i4>5</vt:i4>
      </vt:variant>
      <vt:variant>
        <vt:lpwstr/>
      </vt:variant>
      <vt:variant>
        <vt:lpwstr>_Other_Disclosures</vt:lpwstr>
      </vt:variant>
      <vt:variant>
        <vt:i4>5373996</vt:i4>
      </vt:variant>
      <vt:variant>
        <vt:i4>1143</vt:i4>
      </vt:variant>
      <vt:variant>
        <vt:i4>0</vt:i4>
      </vt:variant>
      <vt:variant>
        <vt:i4>5</vt:i4>
      </vt:variant>
      <vt:variant>
        <vt:lpwstr/>
      </vt:variant>
      <vt:variant>
        <vt:lpwstr>_6.3_Contingent_assets</vt:lpwstr>
      </vt:variant>
      <vt:variant>
        <vt:i4>4194343</vt:i4>
      </vt:variant>
      <vt:variant>
        <vt:i4>1140</vt:i4>
      </vt:variant>
      <vt:variant>
        <vt:i4>0</vt:i4>
      </vt:variant>
      <vt:variant>
        <vt:i4>5</vt:i4>
      </vt:variant>
      <vt:variant>
        <vt:lpwstr/>
      </vt:variant>
      <vt:variant>
        <vt:lpwstr>_6.2_Fair_value</vt:lpwstr>
      </vt:variant>
      <vt:variant>
        <vt:i4>8126469</vt:i4>
      </vt:variant>
      <vt:variant>
        <vt:i4>1137</vt:i4>
      </vt:variant>
      <vt:variant>
        <vt:i4>0</vt:i4>
      </vt:variant>
      <vt:variant>
        <vt:i4>5</vt:i4>
      </vt:variant>
      <vt:variant>
        <vt:lpwstr/>
      </vt:variant>
      <vt:variant>
        <vt:lpwstr>_6.1_Financial_instruments</vt:lpwstr>
      </vt:variant>
      <vt:variant>
        <vt:i4>2752570</vt:i4>
      </vt:variant>
      <vt:variant>
        <vt:i4>1134</vt:i4>
      </vt:variant>
      <vt:variant>
        <vt:i4>0</vt:i4>
      </vt:variant>
      <vt:variant>
        <vt:i4>5</vt:i4>
      </vt:variant>
      <vt:variant>
        <vt:lpwstr/>
      </vt:variant>
      <vt:variant>
        <vt:lpwstr>_Risk_management</vt:lpwstr>
      </vt:variant>
      <vt:variant>
        <vt:i4>1114185</vt:i4>
      </vt:variant>
      <vt:variant>
        <vt:i4>1131</vt:i4>
      </vt:variant>
      <vt:variant>
        <vt:i4>0</vt:i4>
      </vt:variant>
      <vt:variant>
        <vt:i4>5</vt:i4>
      </vt:variant>
      <vt:variant>
        <vt:lpwstr/>
      </vt:variant>
      <vt:variant>
        <vt:lpwstr>_5.3_Commitments</vt:lpwstr>
      </vt:variant>
      <vt:variant>
        <vt:i4>5439534</vt:i4>
      </vt:variant>
      <vt:variant>
        <vt:i4>1128</vt:i4>
      </vt:variant>
      <vt:variant>
        <vt:i4>0</vt:i4>
      </vt:variant>
      <vt:variant>
        <vt:i4>5</vt:i4>
      </vt:variant>
      <vt:variant>
        <vt:lpwstr/>
      </vt:variant>
      <vt:variant>
        <vt:lpwstr>_5.2_Cash_flow</vt:lpwstr>
      </vt:variant>
      <vt:variant>
        <vt:i4>4063326</vt:i4>
      </vt:variant>
      <vt:variant>
        <vt:i4>1125</vt:i4>
      </vt:variant>
      <vt:variant>
        <vt:i4>0</vt:i4>
      </vt:variant>
      <vt:variant>
        <vt:i4>5</vt:i4>
      </vt:variant>
      <vt:variant>
        <vt:lpwstr/>
      </vt:variant>
      <vt:variant>
        <vt:lpwstr>_5.1_Interest_bearing</vt:lpwstr>
      </vt:variant>
      <vt:variant>
        <vt:i4>1638454</vt:i4>
      </vt:variant>
      <vt:variant>
        <vt:i4>1122</vt:i4>
      </vt:variant>
      <vt:variant>
        <vt:i4>0</vt:i4>
      </vt:variant>
      <vt:variant>
        <vt:i4>5</vt:i4>
      </vt:variant>
      <vt:variant>
        <vt:lpwstr/>
      </vt:variant>
      <vt:variant>
        <vt:lpwstr>_Financing_Our_Operations</vt:lpwstr>
      </vt:variant>
      <vt:variant>
        <vt:i4>131119</vt:i4>
      </vt:variant>
      <vt:variant>
        <vt:i4>1119</vt:i4>
      </vt:variant>
      <vt:variant>
        <vt:i4>0</vt:i4>
      </vt:variant>
      <vt:variant>
        <vt:i4>5</vt:i4>
      </vt:variant>
      <vt:variant>
        <vt:lpwstr/>
      </vt:variant>
      <vt:variant>
        <vt:lpwstr>_4.3_Non-financial_assets</vt:lpwstr>
      </vt:variant>
      <vt:variant>
        <vt:i4>4849703</vt:i4>
      </vt:variant>
      <vt:variant>
        <vt:i4>1116</vt:i4>
      </vt:variant>
      <vt:variant>
        <vt:i4>0</vt:i4>
      </vt:variant>
      <vt:variant>
        <vt:i4>5</vt:i4>
      </vt:variant>
      <vt:variant>
        <vt:lpwstr/>
      </vt:variant>
      <vt:variant>
        <vt:lpwstr>_4.2_Intangible_assets</vt:lpwstr>
      </vt:variant>
      <vt:variant>
        <vt:i4>5832803</vt:i4>
      </vt:variant>
      <vt:variant>
        <vt:i4>1113</vt:i4>
      </vt:variant>
      <vt:variant>
        <vt:i4>0</vt:i4>
      </vt:variant>
      <vt:variant>
        <vt:i4>5</vt:i4>
      </vt:variant>
      <vt:variant>
        <vt:lpwstr/>
      </vt:variant>
      <vt:variant>
        <vt:lpwstr>_4.1_Land,_buildings,</vt:lpwstr>
      </vt:variant>
      <vt:variant>
        <vt:i4>1769509</vt:i4>
      </vt:variant>
      <vt:variant>
        <vt:i4>1110</vt:i4>
      </vt:variant>
      <vt:variant>
        <vt:i4>0</vt:i4>
      </vt:variant>
      <vt:variant>
        <vt:i4>5</vt:i4>
      </vt:variant>
      <vt:variant>
        <vt:lpwstr/>
      </vt:variant>
      <vt:variant>
        <vt:lpwstr>_Assets_Available_to</vt:lpwstr>
      </vt:variant>
      <vt:variant>
        <vt:i4>3538993</vt:i4>
      </vt:variant>
      <vt:variant>
        <vt:i4>1107</vt:i4>
      </vt:variant>
      <vt:variant>
        <vt:i4>0</vt:i4>
      </vt:variant>
      <vt:variant>
        <vt:i4>5</vt:i4>
      </vt:variant>
      <vt:variant>
        <vt:lpwstr/>
      </vt:variant>
      <vt:variant>
        <vt:lpwstr>_3.11_Provisions</vt:lpwstr>
      </vt:variant>
      <vt:variant>
        <vt:i4>7995456</vt:i4>
      </vt:variant>
      <vt:variant>
        <vt:i4>1104</vt:i4>
      </vt:variant>
      <vt:variant>
        <vt:i4>0</vt:i4>
      </vt:variant>
      <vt:variant>
        <vt:i4>5</vt:i4>
      </vt:variant>
      <vt:variant>
        <vt:lpwstr/>
      </vt:variant>
      <vt:variant>
        <vt:lpwstr>_3.10_Other_current</vt:lpwstr>
      </vt:variant>
      <vt:variant>
        <vt:i4>8323081</vt:i4>
      </vt:variant>
      <vt:variant>
        <vt:i4>1101</vt:i4>
      </vt:variant>
      <vt:variant>
        <vt:i4>0</vt:i4>
      </vt:variant>
      <vt:variant>
        <vt:i4>5</vt:i4>
      </vt:variant>
      <vt:variant>
        <vt:lpwstr/>
      </vt:variant>
      <vt:variant>
        <vt:lpwstr>_3.9_Trade_and</vt:lpwstr>
      </vt:variant>
      <vt:variant>
        <vt:i4>6094891</vt:i4>
      </vt:variant>
      <vt:variant>
        <vt:i4>1098</vt:i4>
      </vt:variant>
      <vt:variant>
        <vt:i4>0</vt:i4>
      </vt:variant>
      <vt:variant>
        <vt:i4>5</vt:i4>
      </vt:variant>
      <vt:variant>
        <vt:lpwstr/>
      </vt:variant>
      <vt:variant>
        <vt:lpwstr>_3.8_Income_and</vt:lpwstr>
      </vt:variant>
      <vt:variant>
        <vt:i4>7274510</vt:i4>
      </vt:variant>
      <vt:variant>
        <vt:i4>1095</vt:i4>
      </vt:variant>
      <vt:variant>
        <vt:i4>0</vt:i4>
      </vt:variant>
      <vt:variant>
        <vt:i4>5</vt:i4>
      </vt:variant>
      <vt:variant>
        <vt:lpwstr/>
      </vt:variant>
      <vt:variant>
        <vt:lpwstr>_3.7_Other_expenses</vt:lpwstr>
      </vt:variant>
      <vt:variant>
        <vt:i4>1245295</vt:i4>
      </vt:variant>
      <vt:variant>
        <vt:i4>1092</vt:i4>
      </vt:variant>
      <vt:variant>
        <vt:i4>0</vt:i4>
      </vt:variant>
      <vt:variant>
        <vt:i4>5</vt:i4>
      </vt:variant>
      <vt:variant>
        <vt:lpwstr/>
      </vt:variant>
      <vt:variant>
        <vt:lpwstr>_3.6_Asset_transfers</vt:lpwstr>
      </vt:variant>
      <vt:variant>
        <vt:i4>3997789</vt:i4>
      </vt:variant>
      <vt:variant>
        <vt:i4>1089</vt:i4>
      </vt:variant>
      <vt:variant>
        <vt:i4>0</vt:i4>
      </vt:variant>
      <vt:variant>
        <vt:i4>5</vt:i4>
      </vt:variant>
      <vt:variant>
        <vt:lpwstr/>
      </vt:variant>
      <vt:variant>
        <vt:lpwstr>_3.5_Government_rates</vt:lpwstr>
      </vt:variant>
      <vt:variant>
        <vt:i4>2359373</vt:i4>
      </vt:variant>
      <vt:variant>
        <vt:i4>1086</vt:i4>
      </vt:variant>
      <vt:variant>
        <vt:i4>0</vt:i4>
      </vt:variant>
      <vt:variant>
        <vt:i4>5</vt:i4>
      </vt:variant>
      <vt:variant>
        <vt:lpwstr/>
      </vt:variant>
      <vt:variant>
        <vt:lpwstr>_3.4_Administrative_expenses</vt:lpwstr>
      </vt:variant>
      <vt:variant>
        <vt:i4>1900649</vt:i4>
      </vt:variant>
      <vt:variant>
        <vt:i4>1083</vt:i4>
      </vt:variant>
      <vt:variant>
        <vt:i4>0</vt:i4>
      </vt:variant>
      <vt:variant>
        <vt:i4>5</vt:i4>
      </vt:variant>
      <vt:variant>
        <vt:lpwstr/>
      </vt:variant>
      <vt:variant>
        <vt:lpwstr>_3.3_Repairs_and</vt:lpwstr>
      </vt:variant>
      <vt:variant>
        <vt:i4>5963821</vt:i4>
      </vt:variant>
      <vt:variant>
        <vt:i4>1080</vt:i4>
      </vt:variant>
      <vt:variant>
        <vt:i4>0</vt:i4>
      </vt:variant>
      <vt:variant>
        <vt:i4>5</vt:i4>
      </vt:variant>
      <vt:variant>
        <vt:lpwstr/>
      </vt:variant>
      <vt:variant>
        <vt:lpwstr>_3.2_Employee_benefits</vt:lpwstr>
      </vt:variant>
      <vt:variant>
        <vt:i4>1835111</vt:i4>
      </vt:variant>
      <vt:variant>
        <vt:i4>1077</vt:i4>
      </vt:variant>
      <vt:variant>
        <vt:i4>0</vt:i4>
      </vt:variant>
      <vt:variant>
        <vt:i4>5</vt:i4>
      </vt:variant>
      <vt:variant>
        <vt:lpwstr/>
      </vt:variant>
      <vt:variant>
        <vt:lpwstr>_3.1_Operational_expenses</vt:lpwstr>
      </vt:variant>
      <vt:variant>
        <vt:i4>3670044</vt:i4>
      </vt:variant>
      <vt:variant>
        <vt:i4>1074</vt:i4>
      </vt:variant>
      <vt:variant>
        <vt:i4>0</vt:i4>
      </vt:variant>
      <vt:variant>
        <vt:i4>5</vt:i4>
      </vt:variant>
      <vt:variant>
        <vt:lpwstr/>
      </vt:variant>
      <vt:variant>
        <vt:lpwstr>_The_Cost_of</vt:lpwstr>
      </vt:variant>
      <vt:variant>
        <vt:i4>458847</vt:i4>
      </vt:variant>
      <vt:variant>
        <vt:i4>1071</vt:i4>
      </vt:variant>
      <vt:variant>
        <vt:i4>0</vt:i4>
      </vt:variant>
      <vt:variant>
        <vt:i4>5</vt:i4>
      </vt:variant>
      <vt:variant>
        <vt:lpwstr/>
      </vt:variant>
      <vt:variant>
        <vt:lpwstr>_2.3_Receivables</vt:lpwstr>
      </vt:variant>
      <vt:variant>
        <vt:i4>1179745</vt:i4>
      </vt:variant>
      <vt:variant>
        <vt:i4>1068</vt:i4>
      </vt:variant>
      <vt:variant>
        <vt:i4>0</vt:i4>
      </vt:variant>
      <vt:variant>
        <vt:i4>5</vt:i4>
      </vt:variant>
      <vt:variant>
        <vt:lpwstr/>
      </vt:variant>
      <vt:variant>
        <vt:lpwstr>_2.2_Other_Income</vt:lpwstr>
      </vt:variant>
      <vt:variant>
        <vt:i4>786523</vt:i4>
      </vt:variant>
      <vt:variant>
        <vt:i4>1065</vt:i4>
      </vt:variant>
      <vt:variant>
        <vt:i4>0</vt:i4>
      </vt:variant>
      <vt:variant>
        <vt:i4>5</vt:i4>
      </vt:variant>
      <vt:variant>
        <vt:lpwstr/>
      </vt:variant>
      <vt:variant>
        <vt:lpwstr>_2.1_Revenue</vt:lpwstr>
      </vt:variant>
      <vt:variant>
        <vt:i4>3342336</vt:i4>
      </vt:variant>
      <vt:variant>
        <vt:i4>1062</vt:i4>
      </vt:variant>
      <vt:variant>
        <vt:i4>0</vt:i4>
      </vt:variant>
      <vt:variant>
        <vt:i4>5</vt:i4>
      </vt:variant>
      <vt:variant>
        <vt:lpwstr/>
      </vt:variant>
      <vt:variant>
        <vt:lpwstr>_Funding_Delivery_of</vt:lpwstr>
      </vt:variant>
      <vt:variant>
        <vt:i4>4587644</vt:i4>
      </vt:variant>
      <vt:variant>
        <vt:i4>1059</vt:i4>
      </vt:variant>
      <vt:variant>
        <vt:i4>0</vt:i4>
      </vt:variant>
      <vt:variant>
        <vt:i4>5</vt:i4>
      </vt:variant>
      <vt:variant>
        <vt:lpwstr/>
      </vt:variant>
      <vt:variant>
        <vt:lpwstr>_About_this_Report</vt:lpwstr>
      </vt:variant>
      <vt:variant>
        <vt:i4>7012463</vt:i4>
      </vt:variant>
      <vt:variant>
        <vt:i4>1026</vt:i4>
      </vt:variant>
      <vt:variant>
        <vt:i4>0</vt:i4>
      </vt:variant>
      <vt:variant>
        <vt:i4>5</vt:i4>
      </vt:variant>
      <vt:variant>
        <vt:lpwstr/>
      </vt:variant>
      <vt:variant>
        <vt:lpwstr>CaseStudyDeliveringExceptional</vt:lpwstr>
      </vt:variant>
      <vt:variant>
        <vt:i4>5505104</vt:i4>
      </vt:variant>
      <vt:variant>
        <vt:i4>1020</vt:i4>
      </vt:variant>
      <vt:variant>
        <vt:i4>0</vt:i4>
      </vt:variant>
      <vt:variant>
        <vt:i4>5</vt:i4>
      </vt:variant>
      <vt:variant>
        <vt:lpwstr>https://www.melbournewater.com.au/media/372/download</vt:lpwstr>
      </vt:variant>
      <vt:variant>
        <vt:lpwstr/>
      </vt:variant>
      <vt:variant>
        <vt:i4>5505104</vt:i4>
      </vt:variant>
      <vt:variant>
        <vt:i4>1017</vt:i4>
      </vt:variant>
      <vt:variant>
        <vt:i4>0</vt:i4>
      </vt:variant>
      <vt:variant>
        <vt:i4>5</vt:i4>
      </vt:variant>
      <vt:variant>
        <vt:lpwstr>https://www.melbournewater.com.au/media/372/download</vt:lpwstr>
      </vt:variant>
      <vt:variant>
        <vt:lpwstr/>
      </vt:variant>
      <vt:variant>
        <vt:i4>1507346</vt:i4>
      </vt:variant>
      <vt:variant>
        <vt:i4>1014</vt:i4>
      </vt:variant>
      <vt:variant>
        <vt:i4>0</vt:i4>
      </vt:variant>
      <vt:variant>
        <vt:i4>5</vt:i4>
      </vt:variant>
      <vt:variant>
        <vt:lpwstr/>
      </vt:variant>
      <vt:variant>
        <vt:lpwstr>CaseStudyReshapingTraditionalGenderRoles</vt:lpwstr>
      </vt:variant>
      <vt:variant>
        <vt:i4>5505109</vt:i4>
      </vt:variant>
      <vt:variant>
        <vt:i4>1002</vt:i4>
      </vt:variant>
      <vt:variant>
        <vt:i4>0</vt:i4>
      </vt:variant>
      <vt:variant>
        <vt:i4>5</vt:i4>
      </vt:variant>
      <vt:variant>
        <vt:lpwstr>https://www.melbournewater.com.au/media/377/download</vt:lpwstr>
      </vt:variant>
      <vt:variant>
        <vt:lpwstr/>
      </vt:variant>
      <vt:variant>
        <vt:i4>5505109</vt:i4>
      </vt:variant>
      <vt:variant>
        <vt:i4>999</vt:i4>
      </vt:variant>
      <vt:variant>
        <vt:i4>0</vt:i4>
      </vt:variant>
      <vt:variant>
        <vt:i4>5</vt:i4>
      </vt:variant>
      <vt:variant>
        <vt:lpwstr>https://www.melbournewater.com.au/media/377/download</vt:lpwstr>
      </vt:variant>
      <vt:variant>
        <vt:lpwstr/>
      </vt:variant>
      <vt:variant>
        <vt:i4>7143533</vt:i4>
      </vt:variant>
      <vt:variant>
        <vt:i4>996</vt:i4>
      </vt:variant>
      <vt:variant>
        <vt:i4>0</vt:i4>
      </vt:variant>
      <vt:variant>
        <vt:i4>5</vt:i4>
      </vt:variant>
      <vt:variant>
        <vt:lpwstr/>
      </vt:variant>
      <vt:variant>
        <vt:lpwstr>CaseStudyWateringBolinBolin</vt:lpwstr>
      </vt:variant>
      <vt:variant>
        <vt:i4>5308431</vt:i4>
      </vt:variant>
      <vt:variant>
        <vt:i4>993</vt:i4>
      </vt:variant>
      <vt:variant>
        <vt:i4>0</vt:i4>
      </vt:variant>
      <vt:variant>
        <vt:i4>5</vt:i4>
      </vt:variant>
      <vt:variant>
        <vt:lpwstr>https://www.melbournewater.com.au/media/1801/download</vt:lpwstr>
      </vt:variant>
      <vt:variant>
        <vt:lpwstr/>
      </vt:variant>
      <vt:variant>
        <vt:i4>5505109</vt:i4>
      </vt:variant>
      <vt:variant>
        <vt:i4>990</vt:i4>
      </vt:variant>
      <vt:variant>
        <vt:i4>0</vt:i4>
      </vt:variant>
      <vt:variant>
        <vt:i4>5</vt:i4>
      </vt:variant>
      <vt:variant>
        <vt:lpwstr>https://www.melbournewater.com.au/media/377/download</vt:lpwstr>
      </vt:variant>
      <vt:variant>
        <vt:lpwstr/>
      </vt:variant>
      <vt:variant>
        <vt:i4>7340153</vt:i4>
      </vt:variant>
      <vt:variant>
        <vt:i4>987</vt:i4>
      </vt:variant>
      <vt:variant>
        <vt:i4>0</vt:i4>
      </vt:variant>
      <vt:variant>
        <vt:i4>5</vt:i4>
      </vt:variant>
      <vt:variant>
        <vt:lpwstr/>
      </vt:variant>
      <vt:variant>
        <vt:lpwstr>CaseStudyWaterlutioninAustralia</vt:lpwstr>
      </vt:variant>
      <vt:variant>
        <vt:i4>7012463</vt:i4>
      </vt:variant>
      <vt:variant>
        <vt:i4>984</vt:i4>
      </vt:variant>
      <vt:variant>
        <vt:i4>0</vt:i4>
      </vt:variant>
      <vt:variant>
        <vt:i4>5</vt:i4>
      </vt:variant>
      <vt:variant>
        <vt:lpwstr/>
      </vt:variant>
      <vt:variant>
        <vt:lpwstr>CaseStudyDeliveringExceptional</vt:lpwstr>
      </vt:variant>
      <vt:variant>
        <vt:i4>5308431</vt:i4>
      </vt:variant>
      <vt:variant>
        <vt:i4>978</vt:i4>
      </vt:variant>
      <vt:variant>
        <vt:i4>0</vt:i4>
      </vt:variant>
      <vt:variant>
        <vt:i4>5</vt:i4>
      </vt:variant>
      <vt:variant>
        <vt:lpwstr>https://www.melbournewater.com.au/media/1801/download</vt:lpwstr>
      </vt:variant>
      <vt:variant>
        <vt:lpwstr/>
      </vt:variant>
      <vt:variant>
        <vt:i4>7012450</vt:i4>
      </vt:variant>
      <vt:variant>
        <vt:i4>975</vt:i4>
      </vt:variant>
      <vt:variant>
        <vt:i4>0</vt:i4>
      </vt:variant>
      <vt:variant>
        <vt:i4>5</vt:i4>
      </vt:variant>
      <vt:variant>
        <vt:lpwstr/>
      </vt:variant>
      <vt:variant>
        <vt:lpwstr>_Enhancing_Biodiversity</vt:lpwstr>
      </vt:variant>
      <vt:variant>
        <vt:i4>5308431</vt:i4>
      </vt:variant>
      <vt:variant>
        <vt:i4>969</vt:i4>
      </vt:variant>
      <vt:variant>
        <vt:i4>0</vt:i4>
      </vt:variant>
      <vt:variant>
        <vt:i4>5</vt:i4>
      </vt:variant>
      <vt:variant>
        <vt:lpwstr>https://www.melbournewater.com.au/media/1801/download</vt:lpwstr>
      </vt:variant>
      <vt:variant>
        <vt:lpwstr/>
      </vt:variant>
      <vt:variant>
        <vt:i4>5308431</vt:i4>
      </vt:variant>
      <vt:variant>
        <vt:i4>963</vt:i4>
      </vt:variant>
      <vt:variant>
        <vt:i4>0</vt:i4>
      </vt:variant>
      <vt:variant>
        <vt:i4>5</vt:i4>
      </vt:variant>
      <vt:variant>
        <vt:lpwstr>https://www.melbournewater.com.au/media/1801/download</vt:lpwstr>
      </vt:variant>
      <vt:variant>
        <vt:lpwstr/>
      </vt:variant>
      <vt:variant>
        <vt:i4>5308431</vt:i4>
      </vt:variant>
      <vt:variant>
        <vt:i4>960</vt:i4>
      </vt:variant>
      <vt:variant>
        <vt:i4>0</vt:i4>
      </vt:variant>
      <vt:variant>
        <vt:i4>5</vt:i4>
      </vt:variant>
      <vt:variant>
        <vt:lpwstr>https://www.melbournewater.com.au/media/1801/download</vt:lpwstr>
      </vt:variant>
      <vt:variant>
        <vt:lpwstr/>
      </vt:variant>
      <vt:variant>
        <vt:i4>5636111</vt:i4>
      </vt:variant>
      <vt:variant>
        <vt:i4>957</vt:i4>
      </vt:variant>
      <vt:variant>
        <vt:i4>0</vt:i4>
      </vt:variant>
      <vt:variant>
        <vt:i4>5</vt:i4>
      </vt:variant>
      <vt:variant>
        <vt:lpwstr>https://www.melbournewater.com.au/media/2836/download</vt:lpwstr>
      </vt:variant>
      <vt:variant>
        <vt:lpwstr/>
      </vt:variant>
      <vt:variant>
        <vt:i4>6422655</vt:i4>
      </vt:variant>
      <vt:variant>
        <vt:i4>954</vt:i4>
      </vt:variant>
      <vt:variant>
        <vt:i4>0</vt:i4>
      </vt:variant>
      <vt:variant>
        <vt:i4>5</vt:i4>
      </vt:variant>
      <vt:variant>
        <vt:lpwstr/>
      </vt:variant>
      <vt:variant>
        <vt:lpwstr>CaseStudyOurSpaceYourPlace</vt:lpwstr>
      </vt:variant>
      <vt:variant>
        <vt:i4>7602284</vt:i4>
      </vt:variant>
      <vt:variant>
        <vt:i4>948</vt:i4>
      </vt:variant>
      <vt:variant>
        <vt:i4>0</vt:i4>
      </vt:variant>
      <vt:variant>
        <vt:i4>5</vt:i4>
      </vt:variant>
      <vt:variant>
        <vt:lpwstr/>
      </vt:variant>
      <vt:variant>
        <vt:lpwstr>CaseStudyTenYearsofLivingRivers</vt:lpwstr>
      </vt:variant>
      <vt:variant>
        <vt:i4>524317</vt:i4>
      </vt:variant>
      <vt:variant>
        <vt:i4>945</vt:i4>
      </vt:variant>
      <vt:variant>
        <vt:i4>0</vt:i4>
      </vt:variant>
      <vt:variant>
        <vt:i4>5</vt:i4>
      </vt:variant>
      <vt:variant>
        <vt:lpwstr/>
      </vt:variant>
      <vt:variant>
        <vt:lpwstr>CaseStudyHealthyWaterwaysStrategy</vt:lpwstr>
      </vt:variant>
      <vt:variant>
        <vt:i4>7143533</vt:i4>
      </vt:variant>
      <vt:variant>
        <vt:i4>942</vt:i4>
      </vt:variant>
      <vt:variant>
        <vt:i4>0</vt:i4>
      </vt:variant>
      <vt:variant>
        <vt:i4>5</vt:i4>
      </vt:variant>
      <vt:variant>
        <vt:lpwstr/>
      </vt:variant>
      <vt:variant>
        <vt:lpwstr>CaseStudyWateringBolinBolin</vt:lpwstr>
      </vt:variant>
      <vt:variant>
        <vt:i4>3014702</vt:i4>
      </vt:variant>
      <vt:variant>
        <vt:i4>933</vt:i4>
      </vt:variant>
      <vt:variant>
        <vt:i4>0</vt:i4>
      </vt:variant>
      <vt:variant>
        <vt:i4>5</vt:i4>
      </vt:variant>
      <vt:variant>
        <vt:lpwstr/>
      </vt:variant>
      <vt:variant>
        <vt:lpwstr>Launching50yrCommunity</vt:lpwstr>
      </vt:variant>
      <vt:variant>
        <vt:i4>5636111</vt:i4>
      </vt:variant>
      <vt:variant>
        <vt:i4>918</vt:i4>
      </vt:variant>
      <vt:variant>
        <vt:i4>0</vt:i4>
      </vt:variant>
      <vt:variant>
        <vt:i4>5</vt:i4>
      </vt:variant>
      <vt:variant>
        <vt:lpwstr>https://www.melbournewater.com.au/media/2836/download</vt:lpwstr>
      </vt:variant>
      <vt:variant>
        <vt:lpwstr/>
      </vt:variant>
      <vt:variant>
        <vt:i4>5898250</vt:i4>
      </vt:variant>
      <vt:variant>
        <vt:i4>903</vt:i4>
      </vt:variant>
      <vt:variant>
        <vt:i4>0</vt:i4>
      </vt:variant>
      <vt:variant>
        <vt:i4>5</vt:i4>
      </vt:variant>
      <vt:variant>
        <vt:lpwstr>https://www.melbournewater.com.au/media/3371/download</vt:lpwstr>
      </vt:variant>
      <vt:variant>
        <vt:lpwstr/>
      </vt:variant>
      <vt:variant>
        <vt:i4>5898250</vt:i4>
      </vt:variant>
      <vt:variant>
        <vt:i4>900</vt:i4>
      </vt:variant>
      <vt:variant>
        <vt:i4>0</vt:i4>
      </vt:variant>
      <vt:variant>
        <vt:i4>5</vt:i4>
      </vt:variant>
      <vt:variant>
        <vt:lpwstr>https://www.melbournewater.com.au/media/3371/download</vt:lpwstr>
      </vt:variant>
      <vt:variant>
        <vt:lpwstr/>
      </vt:variant>
      <vt:variant>
        <vt:i4>3080221</vt:i4>
      </vt:variant>
      <vt:variant>
        <vt:i4>840</vt:i4>
      </vt:variant>
      <vt:variant>
        <vt:i4>0</vt:i4>
      </vt:variant>
      <vt:variant>
        <vt:i4>5</vt:i4>
      </vt:variant>
      <vt:variant>
        <vt:lpwstr/>
      </vt:variant>
      <vt:variant>
        <vt:lpwstr>_Healthy_Places_–</vt:lpwstr>
      </vt:variant>
      <vt:variant>
        <vt:i4>3080221</vt:i4>
      </vt:variant>
      <vt:variant>
        <vt:i4>729</vt:i4>
      </vt:variant>
      <vt:variant>
        <vt:i4>0</vt:i4>
      </vt:variant>
      <vt:variant>
        <vt:i4>5</vt:i4>
      </vt:variant>
      <vt:variant>
        <vt:lpwstr/>
      </vt:variant>
      <vt:variant>
        <vt:lpwstr>_Healthy_Places_–</vt:lpwstr>
      </vt:variant>
      <vt:variant>
        <vt:i4>5505109</vt:i4>
      </vt:variant>
      <vt:variant>
        <vt:i4>552</vt:i4>
      </vt:variant>
      <vt:variant>
        <vt:i4>0</vt:i4>
      </vt:variant>
      <vt:variant>
        <vt:i4>5</vt:i4>
      </vt:variant>
      <vt:variant>
        <vt:lpwstr>https://www.melbournewater.com.au/media/377/download</vt:lpwstr>
      </vt:variant>
      <vt:variant>
        <vt:lpwstr/>
      </vt:variant>
      <vt:variant>
        <vt:i4>5636111</vt:i4>
      </vt:variant>
      <vt:variant>
        <vt:i4>546</vt:i4>
      </vt:variant>
      <vt:variant>
        <vt:i4>0</vt:i4>
      </vt:variant>
      <vt:variant>
        <vt:i4>5</vt:i4>
      </vt:variant>
      <vt:variant>
        <vt:lpwstr>https://www.melbournewater.com.au/media/2836/download</vt:lpwstr>
      </vt:variant>
      <vt:variant>
        <vt:lpwstr/>
      </vt:variant>
      <vt:variant>
        <vt:i4>5636111</vt:i4>
      </vt:variant>
      <vt:variant>
        <vt:i4>543</vt:i4>
      </vt:variant>
      <vt:variant>
        <vt:i4>0</vt:i4>
      </vt:variant>
      <vt:variant>
        <vt:i4>5</vt:i4>
      </vt:variant>
      <vt:variant>
        <vt:lpwstr>https://www.melbournewater.com.au/media/2836/download</vt:lpwstr>
      </vt:variant>
      <vt:variant>
        <vt:lpwstr/>
      </vt:variant>
      <vt:variant>
        <vt:i4>1966134</vt:i4>
      </vt:variant>
      <vt:variant>
        <vt:i4>536</vt:i4>
      </vt:variant>
      <vt:variant>
        <vt:i4>0</vt:i4>
      </vt:variant>
      <vt:variant>
        <vt:i4>5</vt:i4>
      </vt:variant>
      <vt:variant>
        <vt:lpwstr/>
      </vt:variant>
      <vt:variant>
        <vt:lpwstr>_Toc526926743</vt:lpwstr>
      </vt:variant>
      <vt:variant>
        <vt:i4>1966134</vt:i4>
      </vt:variant>
      <vt:variant>
        <vt:i4>530</vt:i4>
      </vt:variant>
      <vt:variant>
        <vt:i4>0</vt:i4>
      </vt:variant>
      <vt:variant>
        <vt:i4>5</vt:i4>
      </vt:variant>
      <vt:variant>
        <vt:lpwstr/>
      </vt:variant>
      <vt:variant>
        <vt:lpwstr>_Toc526926742</vt:lpwstr>
      </vt:variant>
      <vt:variant>
        <vt:i4>1966134</vt:i4>
      </vt:variant>
      <vt:variant>
        <vt:i4>524</vt:i4>
      </vt:variant>
      <vt:variant>
        <vt:i4>0</vt:i4>
      </vt:variant>
      <vt:variant>
        <vt:i4>5</vt:i4>
      </vt:variant>
      <vt:variant>
        <vt:lpwstr/>
      </vt:variant>
      <vt:variant>
        <vt:lpwstr>_Toc526926741</vt:lpwstr>
      </vt:variant>
      <vt:variant>
        <vt:i4>1966134</vt:i4>
      </vt:variant>
      <vt:variant>
        <vt:i4>518</vt:i4>
      </vt:variant>
      <vt:variant>
        <vt:i4>0</vt:i4>
      </vt:variant>
      <vt:variant>
        <vt:i4>5</vt:i4>
      </vt:variant>
      <vt:variant>
        <vt:lpwstr/>
      </vt:variant>
      <vt:variant>
        <vt:lpwstr>_Toc526926740</vt:lpwstr>
      </vt:variant>
      <vt:variant>
        <vt:i4>1638454</vt:i4>
      </vt:variant>
      <vt:variant>
        <vt:i4>512</vt:i4>
      </vt:variant>
      <vt:variant>
        <vt:i4>0</vt:i4>
      </vt:variant>
      <vt:variant>
        <vt:i4>5</vt:i4>
      </vt:variant>
      <vt:variant>
        <vt:lpwstr/>
      </vt:variant>
      <vt:variant>
        <vt:lpwstr>_Toc526926739</vt:lpwstr>
      </vt:variant>
      <vt:variant>
        <vt:i4>1638454</vt:i4>
      </vt:variant>
      <vt:variant>
        <vt:i4>506</vt:i4>
      </vt:variant>
      <vt:variant>
        <vt:i4>0</vt:i4>
      </vt:variant>
      <vt:variant>
        <vt:i4>5</vt:i4>
      </vt:variant>
      <vt:variant>
        <vt:lpwstr/>
      </vt:variant>
      <vt:variant>
        <vt:lpwstr>_Toc526926738</vt:lpwstr>
      </vt:variant>
      <vt:variant>
        <vt:i4>1638454</vt:i4>
      </vt:variant>
      <vt:variant>
        <vt:i4>500</vt:i4>
      </vt:variant>
      <vt:variant>
        <vt:i4>0</vt:i4>
      </vt:variant>
      <vt:variant>
        <vt:i4>5</vt:i4>
      </vt:variant>
      <vt:variant>
        <vt:lpwstr/>
      </vt:variant>
      <vt:variant>
        <vt:lpwstr>_Toc526926737</vt:lpwstr>
      </vt:variant>
      <vt:variant>
        <vt:i4>1638454</vt:i4>
      </vt:variant>
      <vt:variant>
        <vt:i4>494</vt:i4>
      </vt:variant>
      <vt:variant>
        <vt:i4>0</vt:i4>
      </vt:variant>
      <vt:variant>
        <vt:i4>5</vt:i4>
      </vt:variant>
      <vt:variant>
        <vt:lpwstr/>
      </vt:variant>
      <vt:variant>
        <vt:lpwstr>_Toc526926736</vt:lpwstr>
      </vt:variant>
      <vt:variant>
        <vt:i4>1638454</vt:i4>
      </vt:variant>
      <vt:variant>
        <vt:i4>488</vt:i4>
      </vt:variant>
      <vt:variant>
        <vt:i4>0</vt:i4>
      </vt:variant>
      <vt:variant>
        <vt:i4>5</vt:i4>
      </vt:variant>
      <vt:variant>
        <vt:lpwstr/>
      </vt:variant>
      <vt:variant>
        <vt:lpwstr>_Toc526926735</vt:lpwstr>
      </vt:variant>
      <vt:variant>
        <vt:i4>1638454</vt:i4>
      </vt:variant>
      <vt:variant>
        <vt:i4>482</vt:i4>
      </vt:variant>
      <vt:variant>
        <vt:i4>0</vt:i4>
      </vt:variant>
      <vt:variant>
        <vt:i4>5</vt:i4>
      </vt:variant>
      <vt:variant>
        <vt:lpwstr/>
      </vt:variant>
      <vt:variant>
        <vt:lpwstr>_Toc526926734</vt:lpwstr>
      </vt:variant>
      <vt:variant>
        <vt:i4>1638454</vt:i4>
      </vt:variant>
      <vt:variant>
        <vt:i4>476</vt:i4>
      </vt:variant>
      <vt:variant>
        <vt:i4>0</vt:i4>
      </vt:variant>
      <vt:variant>
        <vt:i4>5</vt:i4>
      </vt:variant>
      <vt:variant>
        <vt:lpwstr/>
      </vt:variant>
      <vt:variant>
        <vt:lpwstr>_Toc526926733</vt:lpwstr>
      </vt:variant>
      <vt:variant>
        <vt:i4>1638454</vt:i4>
      </vt:variant>
      <vt:variant>
        <vt:i4>470</vt:i4>
      </vt:variant>
      <vt:variant>
        <vt:i4>0</vt:i4>
      </vt:variant>
      <vt:variant>
        <vt:i4>5</vt:i4>
      </vt:variant>
      <vt:variant>
        <vt:lpwstr/>
      </vt:variant>
      <vt:variant>
        <vt:lpwstr>_Toc526926732</vt:lpwstr>
      </vt:variant>
      <vt:variant>
        <vt:i4>1638454</vt:i4>
      </vt:variant>
      <vt:variant>
        <vt:i4>464</vt:i4>
      </vt:variant>
      <vt:variant>
        <vt:i4>0</vt:i4>
      </vt:variant>
      <vt:variant>
        <vt:i4>5</vt:i4>
      </vt:variant>
      <vt:variant>
        <vt:lpwstr/>
      </vt:variant>
      <vt:variant>
        <vt:lpwstr>_Toc526926731</vt:lpwstr>
      </vt:variant>
      <vt:variant>
        <vt:i4>1638454</vt:i4>
      </vt:variant>
      <vt:variant>
        <vt:i4>458</vt:i4>
      </vt:variant>
      <vt:variant>
        <vt:i4>0</vt:i4>
      </vt:variant>
      <vt:variant>
        <vt:i4>5</vt:i4>
      </vt:variant>
      <vt:variant>
        <vt:lpwstr/>
      </vt:variant>
      <vt:variant>
        <vt:lpwstr>_Toc526926730</vt:lpwstr>
      </vt:variant>
      <vt:variant>
        <vt:i4>1572918</vt:i4>
      </vt:variant>
      <vt:variant>
        <vt:i4>452</vt:i4>
      </vt:variant>
      <vt:variant>
        <vt:i4>0</vt:i4>
      </vt:variant>
      <vt:variant>
        <vt:i4>5</vt:i4>
      </vt:variant>
      <vt:variant>
        <vt:lpwstr/>
      </vt:variant>
      <vt:variant>
        <vt:lpwstr>_Toc526926729</vt:lpwstr>
      </vt:variant>
      <vt:variant>
        <vt:i4>1572918</vt:i4>
      </vt:variant>
      <vt:variant>
        <vt:i4>446</vt:i4>
      </vt:variant>
      <vt:variant>
        <vt:i4>0</vt:i4>
      </vt:variant>
      <vt:variant>
        <vt:i4>5</vt:i4>
      </vt:variant>
      <vt:variant>
        <vt:lpwstr/>
      </vt:variant>
      <vt:variant>
        <vt:lpwstr>_Toc526926728</vt:lpwstr>
      </vt:variant>
      <vt:variant>
        <vt:i4>1572918</vt:i4>
      </vt:variant>
      <vt:variant>
        <vt:i4>440</vt:i4>
      </vt:variant>
      <vt:variant>
        <vt:i4>0</vt:i4>
      </vt:variant>
      <vt:variant>
        <vt:i4>5</vt:i4>
      </vt:variant>
      <vt:variant>
        <vt:lpwstr/>
      </vt:variant>
      <vt:variant>
        <vt:lpwstr>_Toc526926727</vt:lpwstr>
      </vt:variant>
      <vt:variant>
        <vt:i4>1572918</vt:i4>
      </vt:variant>
      <vt:variant>
        <vt:i4>434</vt:i4>
      </vt:variant>
      <vt:variant>
        <vt:i4>0</vt:i4>
      </vt:variant>
      <vt:variant>
        <vt:i4>5</vt:i4>
      </vt:variant>
      <vt:variant>
        <vt:lpwstr/>
      </vt:variant>
      <vt:variant>
        <vt:lpwstr>_Toc526926726</vt:lpwstr>
      </vt:variant>
      <vt:variant>
        <vt:i4>1572918</vt:i4>
      </vt:variant>
      <vt:variant>
        <vt:i4>428</vt:i4>
      </vt:variant>
      <vt:variant>
        <vt:i4>0</vt:i4>
      </vt:variant>
      <vt:variant>
        <vt:i4>5</vt:i4>
      </vt:variant>
      <vt:variant>
        <vt:lpwstr/>
      </vt:variant>
      <vt:variant>
        <vt:lpwstr>_Toc526926725</vt:lpwstr>
      </vt:variant>
      <vt:variant>
        <vt:i4>1572918</vt:i4>
      </vt:variant>
      <vt:variant>
        <vt:i4>422</vt:i4>
      </vt:variant>
      <vt:variant>
        <vt:i4>0</vt:i4>
      </vt:variant>
      <vt:variant>
        <vt:i4>5</vt:i4>
      </vt:variant>
      <vt:variant>
        <vt:lpwstr/>
      </vt:variant>
      <vt:variant>
        <vt:lpwstr>_Toc526926724</vt:lpwstr>
      </vt:variant>
      <vt:variant>
        <vt:i4>1572918</vt:i4>
      </vt:variant>
      <vt:variant>
        <vt:i4>416</vt:i4>
      </vt:variant>
      <vt:variant>
        <vt:i4>0</vt:i4>
      </vt:variant>
      <vt:variant>
        <vt:i4>5</vt:i4>
      </vt:variant>
      <vt:variant>
        <vt:lpwstr/>
      </vt:variant>
      <vt:variant>
        <vt:lpwstr>_Toc526926723</vt:lpwstr>
      </vt:variant>
      <vt:variant>
        <vt:i4>1572918</vt:i4>
      </vt:variant>
      <vt:variant>
        <vt:i4>410</vt:i4>
      </vt:variant>
      <vt:variant>
        <vt:i4>0</vt:i4>
      </vt:variant>
      <vt:variant>
        <vt:i4>5</vt:i4>
      </vt:variant>
      <vt:variant>
        <vt:lpwstr/>
      </vt:variant>
      <vt:variant>
        <vt:lpwstr>_Toc526926722</vt:lpwstr>
      </vt:variant>
      <vt:variant>
        <vt:i4>1572918</vt:i4>
      </vt:variant>
      <vt:variant>
        <vt:i4>404</vt:i4>
      </vt:variant>
      <vt:variant>
        <vt:i4>0</vt:i4>
      </vt:variant>
      <vt:variant>
        <vt:i4>5</vt:i4>
      </vt:variant>
      <vt:variant>
        <vt:lpwstr/>
      </vt:variant>
      <vt:variant>
        <vt:lpwstr>_Toc526926721</vt:lpwstr>
      </vt:variant>
      <vt:variant>
        <vt:i4>1572918</vt:i4>
      </vt:variant>
      <vt:variant>
        <vt:i4>398</vt:i4>
      </vt:variant>
      <vt:variant>
        <vt:i4>0</vt:i4>
      </vt:variant>
      <vt:variant>
        <vt:i4>5</vt:i4>
      </vt:variant>
      <vt:variant>
        <vt:lpwstr/>
      </vt:variant>
      <vt:variant>
        <vt:lpwstr>_Toc526926720</vt:lpwstr>
      </vt:variant>
      <vt:variant>
        <vt:i4>1769526</vt:i4>
      </vt:variant>
      <vt:variant>
        <vt:i4>392</vt:i4>
      </vt:variant>
      <vt:variant>
        <vt:i4>0</vt:i4>
      </vt:variant>
      <vt:variant>
        <vt:i4>5</vt:i4>
      </vt:variant>
      <vt:variant>
        <vt:lpwstr/>
      </vt:variant>
      <vt:variant>
        <vt:lpwstr>_Toc526926719</vt:lpwstr>
      </vt:variant>
      <vt:variant>
        <vt:i4>1769526</vt:i4>
      </vt:variant>
      <vt:variant>
        <vt:i4>386</vt:i4>
      </vt:variant>
      <vt:variant>
        <vt:i4>0</vt:i4>
      </vt:variant>
      <vt:variant>
        <vt:i4>5</vt:i4>
      </vt:variant>
      <vt:variant>
        <vt:lpwstr/>
      </vt:variant>
      <vt:variant>
        <vt:lpwstr>_Toc526926718</vt:lpwstr>
      </vt:variant>
      <vt:variant>
        <vt:i4>1769526</vt:i4>
      </vt:variant>
      <vt:variant>
        <vt:i4>380</vt:i4>
      </vt:variant>
      <vt:variant>
        <vt:i4>0</vt:i4>
      </vt:variant>
      <vt:variant>
        <vt:i4>5</vt:i4>
      </vt:variant>
      <vt:variant>
        <vt:lpwstr/>
      </vt:variant>
      <vt:variant>
        <vt:lpwstr>_Toc526926717</vt:lpwstr>
      </vt:variant>
      <vt:variant>
        <vt:i4>1769526</vt:i4>
      </vt:variant>
      <vt:variant>
        <vt:i4>374</vt:i4>
      </vt:variant>
      <vt:variant>
        <vt:i4>0</vt:i4>
      </vt:variant>
      <vt:variant>
        <vt:i4>5</vt:i4>
      </vt:variant>
      <vt:variant>
        <vt:lpwstr/>
      </vt:variant>
      <vt:variant>
        <vt:lpwstr>_Toc526926716</vt:lpwstr>
      </vt:variant>
      <vt:variant>
        <vt:i4>1769526</vt:i4>
      </vt:variant>
      <vt:variant>
        <vt:i4>368</vt:i4>
      </vt:variant>
      <vt:variant>
        <vt:i4>0</vt:i4>
      </vt:variant>
      <vt:variant>
        <vt:i4>5</vt:i4>
      </vt:variant>
      <vt:variant>
        <vt:lpwstr/>
      </vt:variant>
      <vt:variant>
        <vt:lpwstr>_Toc526926715</vt:lpwstr>
      </vt:variant>
      <vt:variant>
        <vt:i4>1769526</vt:i4>
      </vt:variant>
      <vt:variant>
        <vt:i4>362</vt:i4>
      </vt:variant>
      <vt:variant>
        <vt:i4>0</vt:i4>
      </vt:variant>
      <vt:variant>
        <vt:i4>5</vt:i4>
      </vt:variant>
      <vt:variant>
        <vt:lpwstr/>
      </vt:variant>
      <vt:variant>
        <vt:lpwstr>_Toc526926714</vt:lpwstr>
      </vt:variant>
      <vt:variant>
        <vt:i4>1769526</vt:i4>
      </vt:variant>
      <vt:variant>
        <vt:i4>356</vt:i4>
      </vt:variant>
      <vt:variant>
        <vt:i4>0</vt:i4>
      </vt:variant>
      <vt:variant>
        <vt:i4>5</vt:i4>
      </vt:variant>
      <vt:variant>
        <vt:lpwstr/>
      </vt:variant>
      <vt:variant>
        <vt:lpwstr>_Toc526926713</vt:lpwstr>
      </vt:variant>
      <vt:variant>
        <vt:i4>1769526</vt:i4>
      </vt:variant>
      <vt:variant>
        <vt:i4>350</vt:i4>
      </vt:variant>
      <vt:variant>
        <vt:i4>0</vt:i4>
      </vt:variant>
      <vt:variant>
        <vt:i4>5</vt:i4>
      </vt:variant>
      <vt:variant>
        <vt:lpwstr/>
      </vt:variant>
      <vt:variant>
        <vt:lpwstr>_Toc526926712</vt:lpwstr>
      </vt:variant>
      <vt:variant>
        <vt:i4>1769526</vt:i4>
      </vt:variant>
      <vt:variant>
        <vt:i4>344</vt:i4>
      </vt:variant>
      <vt:variant>
        <vt:i4>0</vt:i4>
      </vt:variant>
      <vt:variant>
        <vt:i4>5</vt:i4>
      </vt:variant>
      <vt:variant>
        <vt:lpwstr/>
      </vt:variant>
      <vt:variant>
        <vt:lpwstr>_Toc526926711</vt:lpwstr>
      </vt:variant>
      <vt:variant>
        <vt:i4>1769526</vt:i4>
      </vt:variant>
      <vt:variant>
        <vt:i4>338</vt:i4>
      </vt:variant>
      <vt:variant>
        <vt:i4>0</vt:i4>
      </vt:variant>
      <vt:variant>
        <vt:i4>5</vt:i4>
      </vt:variant>
      <vt:variant>
        <vt:lpwstr/>
      </vt:variant>
      <vt:variant>
        <vt:lpwstr>_Toc526926710</vt:lpwstr>
      </vt:variant>
      <vt:variant>
        <vt:i4>1703990</vt:i4>
      </vt:variant>
      <vt:variant>
        <vt:i4>332</vt:i4>
      </vt:variant>
      <vt:variant>
        <vt:i4>0</vt:i4>
      </vt:variant>
      <vt:variant>
        <vt:i4>5</vt:i4>
      </vt:variant>
      <vt:variant>
        <vt:lpwstr/>
      </vt:variant>
      <vt:variant>
        <vt:lpwstr>_Toc526926709</vt:lpwstr>
      </vt:variant>
      <vt:variant>
        <vt:i4>1703990</vt:i4>
      </vt:variant>
      <vt:variant>
        <vt:i4>326</vt:i4>
      </vt:variant>
      <vt:variant>
        <vt:i4>0</vt:i4>
      </vt:variant>
      <vt:variant>
        <vt:i4>5</vt:i4>
      </vt:variant>
      <vt:variant>
        <vt:lpwstr/>
      </vt:variant>
      <vt:variant>
        <vt:lpwstr>_Toc526926708</vt:lpwstr>
      </vt:variant>
      <vt:variant>
        <vt:i4>1703990</vt:i4>
      </vt:variant>
      <vt:variant>
        <vt:i4>320</vt:i4>
      </vt:variant>
      <vt:variant>
        <vt:i4>0</vt:i4>
      </vt:variant>
      <vt:variant>
        <vt:i4>5</vt:i4>
      </vt:variant>
      <vt:variant>
        <vt:lpwstr/>
      </vt:variant>
      <vt:variant>
        <vt:lpwstr>_Toc526926707</vt:lpwstr>
      </vt:variant>
      <vt:variant>
        <vt:i4>1703990</vt:i4>
      </vt:variant>
      <vt:variant>
        <vt:i4>314</vt:i4>
      </vt:variant>
      <vt:variant>
        <vt:i4>0</vt:i4>
      </vt:variant>
      <vt:variant>
        <vt:i4>5</vt:i4>
      </vt:variant>
      <vt:variant>
        <vt:lpwstr/>
      </vt:variant>
      <vt:variant>
        <vt:lpwstr>_Toc526926706</vt:lpwstr>
      </vt:variant>
      <vt:variant>
        <vt:i4>1703990</vt:i4>
      </vt:variant>
      <vt:variant>
        <vt:i4>308</vt:i4>
      </vt:variant>
      <vt:variant>
        <vt:i4>0</vt:i4>
      </vt:variant>
      <vt:variant>
        <vt:i4>5</vt:i4>
      </vt:variant>
      <vt:variant>
        <vt:lpwstr/>
      </vt:variant>
      <vt:variant>
        <vt:lpwstr>_Toc526926705</vt:lpwstr>
      </vt:variant>
      <vt:variant>
        <vt:i4>1703990</vt:i4>
      </vt:variant>
      <vt:variant>
        <vt:i4>302</vt:i4>
      </vt:variant>
      <vt:variant>
        <vt:i4>0</vt:i4>
      </vt:variant>
      <vt:variant>
        <vt:i4>5</vt:i4>
      </vt:variant>
      <vt:variant>
        <vt:lpwstr/>
      </vt:variant>
      <vt:variant>
        <vt:lpwstr>_Toc526926704</vt:lpwstr>
      </vt:variant>
      <vt:variant>
        <vt:i4>1703990</vt:i4>
      </vt:variant>
      <vt:variant>
        <vt:i4>296</vt:i4>
      </vt:variant>
      <vt:variant>
        <vt:i4>0</vt:i4>
      </vt:variant>
      <vt:variant>
        <vt:i4>5</vt:i4>
      </vt:variant>
      <vt:variant>
        <vt:lpwstr/>
      </vt:variant>
      <vt:variant>
        <vt:lpwstr>_Toc526926703</vt:lpwstr>
      </vt:variant>
      <vt:variant>
        <vt:i4>1703990</vt:i4>
      </vt:variant>
      <vt:variant>
        <vt:i4>290</vt:i4>
      </vt:variant>
      <vt:variant>
        <vt:i4>0</vt:i4>
      </vt:variant>
      <vt:variant>
        <vt:i4>5</vt:i4>
      </vt:variant>
      <vt:variant>
        <vt:lpwstr/>
      </vt:variant>
      <vt:variant>
        <vt:lpwstr>_Toc526926702</vt:lpwstr>
      </vt:variant>
      <vt:variant>
        <vt:i4>1703990</vt:i4>
      </vt:variant>
      <vt:variant>
        <vt:i4>284</vt:i4>
      </vt:variant>
      <vt:variant>
        <vt:i4>0</vt:i4>
      </vt:variant>
      <vt:variant>
        <vt:i4>5</vt:i4>
      </vt:variant>
      <vt:variant>
        <vt:lpwstr/>
      </vt:variant>
      <vt:variant>
        <vt:lpwstr>_Toc526926701</vt:lpwstr>
      </vt:variant>
      <vt:variant>
        <vt:i4>1703990</vt:i4>
      </vt:variant>
      <vt:variant>
        <vt:i4>278</vt:i4>
      </vt:variant>
      <vt:variant>
        <vt:i4>0</vt:i4>
      </vt:variant>
      <vt:variant>
        <vt:i4>5</vt:i4>
      </vt:variant>
      <vt:variant>
        <vt:lpwstr/>
      </vt:variant>
      <vt:variant>
        <vt:lpwstr>_Toc526926700</vt:lpwstr>
      </vt:variant>
      <vt:variant>
        <vt:i4>1245239</vt:i4>
      </vt:variant>
      <vt:variant>
        <vt:i4>272</vt:i4>
      </vt:variant>
      <vt:variant>
        <vt:i4>0</vt:i4>
      </vt:variant>
      <vt:variant>
        <vt:i4>5</vt:i4>
      </vt:variant>
      <vt:variant>
        <vt:lpwstr/>
      </vt:variant>
      <vt:variant>
        <vt:lpwstr>_Toc526926699</vt:lpwstr>
      </vt:variant>
      <vt:variant>
        <vt:i4>1245239</vt:i4>
      </vt:variant>
      <vt:variant>
        <vt:i4>266</vt:i4>
      </vt:variant>
      <vt:variant>
        <vt:i4>0</vt:i4>
      </vt:variant>
      <vt:variant>
        <vt:i4>5</vt:i4>
      </vt:variant>
      <vt:variant>
        <vt:lpwstr/>
      </vt:variant>
      <vt:variant>
        <vt:lpwstr>_Toc526926698</vt:lpwstr>
      </vt:variant>
      <vt:variant>
        <vt:i4>1245239</vt:i4>
      </vt:variant>
      <vt:variant>
        <vt:i4>260</vt:i4>
      </vt:variant>
      <vt:variant>
        <vt:i4>0</vt:i4>
      </vt:variant>
      <vt:variant>
        <vt:i4>5</vt:i4>
      </vt:variant>
      <vt:variant>
        <vt:lpwstr/>
      </vt:variant>
      <vt:variant>
        <vt:lpwstr>_Toc526926697</vt:lpwstr>
      </vt:variant>
      <vt:variant>
        <vt:i4>1245239</vt:i4>
      </vt:variant>
      <vt:variant>
        <vt:i4>254</vt:i4>
      </vt:variant>
      <vt:variant>
        <vt:i4>0</vt:i4>
      </vt:variant>
      <vt:variant>
        <vt:i4>5</vt:i4>
      </vt:variant>
      <vt:variant>
        <vt:lpwstr/>
      </vt:variant>
      <vt:variant>
        <vt:lpwstr>_Toc526926696</vt:lpwstr>
      </vt:variant>
      <vt:variant>
        <vt:i4>1245239</vt:i4>
      </vt:variant>
      <vt:variant>
        <vt:i4>248</vt:i4>
      </vt:variant>
      <vt:variant>
        <vt:i4>0</vt:i4>
      </vt:variant>
      <vt:variant>
        <vt:i4>5</vt:i4>
      </vt:variant>
      <vt:variant>
        <vt:lpwstr/>
      </vt:variant>
      <vt:variant>
        <vt:lpwstr>_Toc526926695</vt:lpwstr>
      </vt:variant>
      <vt:variant>
        <vt:i4>1245239</vt:i4>
      </vt:variant>
      <vt:variant>
        <vt:i4>242</vt:i4>
      </vt:variant>
      <vt:variant>
        <vt:i4>0</vt:i4>
      </vt:variant>
      <vt:variant>
        <vt:i4>5</vt:i4>
      </vt:variant>
      <vt:variant>
        <vt:lpwstr/>
      </vt:variant>
      <vt:variant>
        <vt:lpwstr>_Toc526926694</vt:lpwstr>
      </vt:variant>
      <vt:variant>
        <vt:i4>1245239</vt:i4>
      </vt:variant>
      <vt:variant>
        <vt:i4>236</vt:i4>
      </vt:variant>
      <vt:variant>
        <vt:i4>0</vt:i4>
      </vt:variant>
      <vt:variant>
        <vt:i4>5</vt:i4>
      </vt:variant>
      <vt:variant>
        <vt:lpwstr/>
      </vt:variant>
      <vt:variant>
        <vt:lpwstr>_Toc526926693</vt:lpwstr>
      </vt:variant>
      <vt:variant>
        <vt:i4>1245239</vt:i4>
      </vt:variant>
      <vt:variant>
        <vt:i4>230</vt:i4>
      </vt:variant>
      <vt:variant>
        <vt:i4>0</vt:i4>
      </vt:variant>
      <vt:variant>
        <vt:i4>5</vt:i4>
      </vt:variant>
      <vt:variant>
        <vt:lpwstr/>
      </vt:variant>
      <vt:variant>
        <vt:lpwstr>_Toc526926692</vt:lpwstr>
      </vt:variant>
      <vt:variant>
        <vt:i4>1245239</vt:i4>
      </vt:variant>
      <vt:variant>
        <vt:i4>224</vt:i4>
      </vt:variant>
      <vt:variant>
        <vt:i4>0</vt:i4>
      </vt:variant>
      <vt:variant>
        <vt:i4>5</vt:i4>
      </vt:variant>
      <vt:variant>
        <vt:lpwstr/>
      </vt:variant>
      <vt:variant>
        <vt:lpwstr>_Toc526926691</vt:lpwstr>
      </vt:variant>
      <vt:variant>
        <vt:i4>1245239</vt:i4>
      </vt:variant>
      <vt:variant>
        <vt:i4>218</vt:i4>
      </vt:variant>
      <vt:variant>
        <vt:i4>0</vt:i4>
      </vt:variant>
      <vt:variant>
        <vt:i4>5</vt:i4>
      </vt:variant>
      <vt:variant>
        <vt:lpwstr/>
      </vt:variant>
      <vt:variant>
        <vt:lpwstr>_Toc526926690</vt:lpwstr>
      </vt:variant>
      <vt:variant>
        <vt:i4>1179703</vt:i4>
      </vt:variant>
      <vt:variant>
        <vt:i4>212</vt:i4>
      </vt:variant>
      <vt:variant>
        <vt:i4>0</vt:i4>
      </vt:variant>
      <vt:variant>
        <vt:i4>5</vt:i4>
      </vt:variant>
      <vt:variant>
        <vt:lpwstr/>
      </vt:variant>
      <vt:variant>
        <vt:lpwstr>_Toc526926689</vt:lpwstr>
      </vt:variant>
      <vt:variant>
        <vt:i4>1179703</vt:i4>
      </vt:variant>
      <vt:variant>
        <vt:i4>206</vt:i4>
      </vt:variant>
      <vt:variant>
        <vt:i4>0</vt:i4>
      </vt:variant>
      <vt:variant>
        <vt:i4>5</vt:i4>
      </vt:variant>
      <vt:variant>
        <vt:lpwstr/>
      </vt:variant>
      <vt:variant>
        <vt:lpwstr>_Toc526926688</vt:lpwstr>
      </vt:variant>
      <vt:variant>
        <vt:i4>1179703</vt:i4>
      </vt:variant>
      <vt:variant>
        <vt:i4>200</vt:i4>
      </vt:variant>
      <vt:variant>
        <vt:i4>0</vt:i4>
      </vt:variant>
      <vt:variant>
        <vt:i4>5</vt:i4>
      </vt:variant>
      <vt:variant>
        <vt:lpwstr/>
      </vt:variant>
      <vt:variant>
        <vt:lpwstr>_Toc526926687</vt:lpwstr>
      </vt:variant>
      <vt:variant>
        <vt:i4>1179703</vt:i4>
      </vt:variant>
      <vt:variant>
        <vt:i4>194</vt:i4>
      </vt:variant>
      <vt:variant>
        <vt:i4>0</vt:i4>
      </vt:variant>
      <vt:variant>
        <vt:i4>5</vt:i4>
      </vt:variant>
      <vt:variant>
        <vt:lpwstr/>
      </vt:variant>
      <vt:variant>
        <vt:lpwstr>_Toc526926686</vt:lpwstr>
      </vt:variant>
      <vt:variant>
        <vt:i4>1179703</vt:i4>
      </vt:variant>
      <vt:variant>
        <vt:i4>188</vt:i4>
      </vt:variant>
      <vt:variant>
        <vt:i4>0</vt:i4>
      </vt:variant>
      <vt:variant>
        <vt:i4>5</vt:i4>
      </vt:variant>
      <vt:variant>
        <vt:lpwstr/>
      </vt:variant>
      <vt:variant>
        <vt:lpwstr>_Toc526926685</vt:lpwstr>
      </vt:variant>
      <vt:variant>
        <vt:i4>1179703</vt:i4>
      </vt:variant>
      <vt:variant>
        <vt:i4>182</vt:i4>
      </vt:variant>
      <vt:variant>
        <vt:i4>0</vt:i4>
      </vt:variant>
      <vt:variant>
        <vt:i4>5</vt:i4>
      </vt:variant>
      <vt:variant>
        <vt:lpwstr/>
      </vt:variant>
      <vt:variant>
        <vt:lpwstr>_Toc526926684</vt:lpwstr>
      </vt:variant>
      <vt:variant>
        <vt:i4>1179703</vt:i4>
      </vt:variant>
      <vt:variant>
        <vt:i4>176</vt:i4>
      </vt:variant>
      <vt:variant>
        <vt:i4>0</vt:i4>
      </vt:variant>
      <vt:variant>
        <vt:i4>5</vt:i4>
      </vt:variant>
      <vt:variant>
        <vt:lpwstr/>
      </vt:variant>
      <vt:variant>
        <vt:lpwstr>_Toc526926683</vt:lpwstr>
      </vt:variant>
      <vt:variant>
        <vt:i4>1179703</vt:i4>
      </vt:variant>
      <vt:variant>
        <vt:i4>170</vt:i4>
      </vt:variant>
      <vt:variant>
        <vt:i4>0</vt:i4>
      </vt:variant>
      <vt:variant>
        <vt:i4>5</vt:i4>
      </vt:variant>
      <vt:variant>
        <vt:lpwstr/>
      </vt:variant>
      <vt:variant>
        <vt:lpwstr>_Toc526926682</vt:lpwstr>
      </vt:variant>
      <vt:variant>
        <vt:i4>1179703</vt:i4>
      </vt:variant>
      <vt:variant>
        <vt:i4>164</vt:i4>
      </vt:variant>
      <vt:variant>
        <vt:i4>0</vt:i4>
      </vt:variant>
      <vt:variant>
        <vt:i4>5</vt:i4>
      </vt:variant>
      <vt:variant>
        <vt:lpwstr/>
      </vt:variant>
      <vt:variant>
        <vt:lpwstr>_Toc526926681</vt:lpwstr>
      </vt:variant>
      <vt:variant>
        <vt:i4>1179703</vt:i4>
      </vt:variant>
      <vt:variant>
        <vt:i4>158</vt:i4>
      </vt:variant>
      <vt:variant>
        <vt:i4>0</vt:i4>
      </vt:variant>
      <vt:variant>
        <vt:i4>5</vt:i4>
      </vt:variant>
      <vt:variant>
        <vt:lpwstr/>
      </vt:variant>
      <vt:variant>
        <vt:lpwstr>_Toc526926680</vt:lpwstr>
      </vt:variant>
      <vt:variant>
        <vt:i4>1900599</vt:i4>
      </vt:variant>
      <vt:variant>
        <vt:i4>152</vt:i4>
      </vt:variant>
      <vt:variant>
        <vt:i4>0</vt:i4>
      </vt:variant>
      <vt:variant>
        <vt:i4>5</vt:i4>
      </vt:variant>
      <vt:variant>
        <vt:lpwstr/>
      </vt:variant>
      <vt:variant>
        <vt:lpwstr>_Toc526926679</vt:lpwstr>
      </vt:variant>
      <vt:variant>
        <vt:i4>1900599</vt:i4>
      </vt:variant>
      <vt:variant>
        <vt:i4>146</vt:i4>
      </vt:variant>
      <vt:variant>
        <vt:i4>0</vt:i4>
      </vt:variant>
      <vt:variant>
        <vt:i4>5</vt:i4>
      </vt:variant>
      <vt:variant>
        <vt:lpwstr/>
      </vt:variant>
      <vt:variant>
        <vt:lpwstr>_Toc526926678</vt:lpwstr>
      </vt:variant>
      <vt:variant>
        <vt:i4>1900599</vt:i4>
      </vt:variant>
      <vt:variant>
        <vt:i4>140</vt:i4>
      </vt:variant>
      <vt:variant>
        <vt:i4>0</vt:i4>
      </vt:variant>
      <vt:variant>
        <vt:i4>5</vt:i4>
      </vt:variant>
      <vt:variant>
        <vt:lpwstr/>
      </vt:variant>
      <vt:variant>
        <vt:lpwstr>_Toc526926677</vt:lpwstr>
      </vt:variant>
      <vt:variant>
        <vt:i4>1900599</vt:i4>
      </vt:variant>
      <vt:variant>
        <vt:i4>134</vt:i4>
      </vt:variant>
      <vt:variant>
        <vt:i4>0</vt:i4>
      </vt:variant>
      <vt:variant>
        <vt:i4>5</vt:i4>
      </vt:variant>
      <vt:variant>
        <vt:lpwstr/>
      </vt:variant>
      <vt:variant>
        <vt:lpwstr>_Toc526926676</vt:lpwstr>
      </vt:variant>
      <vt:variant>
        <vt:i4>1900599</vt:i4>
      </vt:variant>
      <vt:variant>
        <vt:i4>128</vt:i4>
      </vt:variant>
      <vt:variant>
        <vt:i4>0</vt:i4>
      </vt:variant>
      <vt:variant>
        <vt:i4>5</vt:i4>
      </vt:variant>
      <vt:variant>
        <vt:lpwstr/>
      </vt:variant>
      <vt:variant>
        <vt:lpwstr>_Toc526926675</vt:lpwstr>
      </vt:variant>
      <vt:variant>
        <vt:i4>1900599</vt:i4>
      </vt:variant>
      <vt:variant>
        <vt:i4>122</vt:i4>
      </vt:variant>
      <vt:variant>
        <vt:i4>0</vt:i4>
      </vt:variant>
      <vt:variant>
        <vt:i4>5</vt:i4>
      </vt:variant>
      <vt:variant>
        <vt:lpwstr/>
      </vt:variant>
      <vt:variant>
        <vt:lpwstr>_Toc526926674</vt:lpwstr>
      </vt:variant>
      <vt:variant>
        <vt:i4>1900599</vt:i4>
      </vt:variant>
      <vt:variant>
        <vt:i4>116</vt:i4>
      </vt:variant>
      <vt:variant>
        <vt:i4>0</vt:i4>
      </vt:variant>
      <vt:variant>
        <vt:i4>5</vt:i4>
      </vt:variant>
      <vt:variant>
        <vt:lpwstr/>
      </vt:variant>
      <vt:variant>
        <vt:lpwstr>_Toc526926673</vt:lpwstr>
      </vt:variant>
      <vt:variant>
        <vt:i4>1900599</vt:i4>
      </vt:variant>
      <vt:variant>
        <vt:i4>110</vt:i4>
      </vt:variant>
      <vt:variant>
        <vt:i4>0</vt:i4>
      </vt:variant>
      <vt:variant>
        <vt:i4>5</vt:i4>
      </vt:variant>
      <vt:variant>
        <vt:lpwstr/>
      </vt:variant>
      <vt:variant>
        <vt:lpwstr>_Toc526926672</vt:lpwstr>
      </vt:variant>
      <vt:variant>
        <vt:i4>1900599</vt:i4>
      </vt:variant>
      <vt:variant>
        <vt:i4>104</vt:i4>
      </vt:variant>
      <vt:variant>
        <vt:i4>0</vt:i4>
      </vt:variant>
      <vt:variant>
        <vt:i4>5</vt:i4>
      </vt:variant>
      <vt:variant>
        <vt:lpwstr/>
      </vt:variant>
      <vt:variant>
        <vt:lpwstr>_Toc526926671</vt:lpwstr>
      </vt:variant>
      <vt:variant>
        <vt:i4>1900599</vt:i4>
      </vt:variant>
      <vt:variant>
        <vt:i4>98</vt:i4>
      </vt:variant>
      <vt:variant>
        <vt:i4>0</vt:i4>
      </vt:variant>
      <vt:variant>
        <vt:i4>5</vt:i4>
      </vt:variant>
      <vt:variant>
        <vt:lpwstr/>
      </vt:variant>
      <vt:variant>
        <vt:lpwstr>_Toc526926670</vt:lpwstr>
      </vt:variant>
      <vt:variant>
        <vt:i4>1835063</vt:i4>
      </vt:variant>
      <vt:variant>
        <vt:i4>92</vt:i4>
      </vt:variant>
      <vt:variant>
        <vt:i4>0</vt:i4>
      </vt:variant>
      <vt:variant>
        <vt:i4>5</vt:i4>
      </vt:variant>
      <vt:variant>
        <vt:lpwstr/>
      </vt:variant>
      <vt:variant>
        <vt:lpwstr>_Toc526926669</vt:lpwstr>
      </vt:variant>
      <vt:variant>
        <vt:i4>1835063</vt:i4>
      </vt:variant>
      <vt:variant>
        <vt:i4>86</vt:i4>
      </vt:variant>
      <vt:variant>
        <vt:i4>0</vt:i4>
      </vt:variant>
      <vt:variant>
        <vt:i4>5</vt:i4>
      </vt:variant>
      <vt:variant>
        <vt:lpwstr/>
      </vt:variant>
      <vt:variant>
        <vt:lpwstr>_Toc526926668</vt:lpwstr>
      </vt:variant>
      <vt:variant>
        <vt:i4>1835063</vt:i4>
      </vt:variant>
      <vt:variant>
        <vt:i4>80</vt:i4>
      </vt:variant>
      <vt:variant>
        <vt:i4>0</vt:i4>
      </vt:variant>
      <vt:variant>
        <vt:i4>5</vt:i4>
      </vt:variant>
      <vt:variant>
        <vt:lpwstr/>
      </vt:variant>
      <vt:variant>
        <vt:lpwstr>_Toc526926667</vt:lpwstr>
      </vt:variant>
      <vt:variant>
        <vt:i4>1835063</vt:i4>
      </vt:variant>
      <vt:variant>
        <vt:i4>74</vt:i4>
      </vt:variant>
      <vt:variant>
        <vt:i4>0</vt:i4>
      </vt:variant>
      <vt:variant>
        <vt:i4>5</vt:i4>
      </vt:variant>
      <vt:variant>
        <vt:lpwstr/>
      </vt:variant>
      <vt:variant>
        <vt:lpwstr>_Toc526926666</vt:lpwstr>
      </vt:variant>
      <vt:variant>
        <vt:i4>1835063</vt:i4>
      </vt:variant>
      <vt:variant>
        <vt:i4>68</vt:i4>
      </vt:variant>
      <vt:variant>
        <vt:i4>0</vt:i4>
      </vt:variant>
      <vt:variant>
        <vt:i4>5</vt:i4>
      </vt:variant>
      <vt:variant>
        <vt:lpwstr/>
      </vt:variant>
      <vt:variant>
        <vt:lpwstr>_Toc526926665</vt:lpwstr>
      </vt:variant>
      <vt:variant>
        <vt:i4>1835063</vt:i4>
      </vt:variant>
      <vt:variant>
        <vt:i4>62</vt:i4>
      </vt:variant>
      <vt:variant>
        <vt:i4>0</vt:i4>
      </vt:variant>
      <vt:variant>
        <vt:i4>5</vt:i4>
      </vt:variant>
      <vt:variant>
        <vt:lpwstr/>
      </vt:variant>
      <vt:variant>
        <vt:lpwstr>_Toc526926664</vt:lpwstr>
      </vt:variant>
      <vt:variant>
        <vt:i4>1835063</vt:i4>
      </vt:variant>
      <vt:variant>
        <vt:i4>56</vt:i4>
      </vt:variant>
      <vt:variant>
        <vt:i4>0</vt:i4>
      </vt:variant>
      <vt:variant>
        <vt:i4>5</vt:i4>
      </vt:variant>
      <vt:variant>
        <vt:lpwstr/>
      </vt:variant>
      <vt:variant>
        <vt:lpwstr>_Toc526926663</vt:lpwstr>
      </vt:variant>
      <vt:variant>
        <vt:i4>1835063</vt:i4>
      </vt:variant>
      <vt:variant>
        <vt:i4>50</vt:i4>
      </vt:variant>
      <vt:variant>
        <vt:i4>0</vt:i4>
      </vt:variant>
      <vt:variant>
        <vt:i4>5</vt:i4>
      </vt:variant>
      <vt:variant>
        <vt:lpwstr/>
      </vt:variant>
      <vt:variant>
        <vt:lpwstr>_Toc526926662</vt:lpwstr>
      </vt:variant>
      <vt:variant>
        <vt:i4>1835063</vt:i4>
      </vt:variant>
      <vt:variant>
        <vt:i4>44</vt:i4>
      </vt:variant>
      <vt:variant>
        <vt:i4>0</vt:i4>
      </vt:variant>
      <vt:variant>
        <vt:i4>5</vt:i4>
      </vt:variant>
      <vt:variant>
        <vt:lpwstr/>
      </vt:variant>
      <vt:variant>
        <vt:lpwstr>_Toc526926661</vt:lpwstr>
      </vt:variant>
      <vt:variant>
        <vt:i4>1835063</vt:i4>
      </vt:variant>
      <vt:variant>
        <vt:i4>38</vt:i4>
      </vt:variant>
      <vt:variant>
        <vt:i4>0</vt:i4>
      </vt:variant>
      <vt:variant>
        <vt:i4>5</vt:i4>
      </vt:variant>
      <vt:variant>
        <vt:lpwstr/>
      </vt:variant>
      <vt:variant>
        <vt:lpwstr>_Toc526926660</vt:lpwstr>
      </vt:variant>
      <vt:variant>
        <vt:i4>2031671</vt:i4>
      </vt:variant>
      <vt:variant>
        <vt:i4>32</vt:i4>
      </vt:variant>
      <vt:variant>
        <vt:i4>0</vt:i4>
      </vt:variant>
      <vt:variant>
        <vt:i4>5</vt:i4>
      </vt:variant>
      <vt:variant>
        <vt:lpwstr/>
      </vt:variant>
      <vt:variant>
        <vt:lpwstr>_Toc526926659</vt:lpwstr>
      </vt:variant>
      <vt:variant>
        <vt:i4>2031671</vt:i4>
      </vt:variant>
      <vt:variant>
        <vt:i4>26</vt:i4>
      </vt:variant>
      <vt:variant>
        <vt:i4>0</vt:i4>
      </vt:variant>
      <vt:variant>
        <vt:i4>5</vt:i4>
      </vt:variant>
      <vt:variant>
        <vt:lpwstr/>
      </vt:variant>
      <vt:variant>
        <vt:lpwstr>_Toc526926658</vt:lpwstr>
      </vt:variant>
      <vt:variant>
        <vt:i4>2031671</vt:i4>
      </vt:variant>
      <vt:variant>
        <vt:i4>20</vt:i4>
      </vt:variant>
      <vt:variant>
        <vt:i4>0</vt:i4>
      </vt:variant>
      <vt:variant>
        <vt:i4>5</vt:i4>
      </vt:variant>
      <vt:variant>
        <vt:lpwstr/>
      </vt:variant>
      <vt:variant>
        <vt:lpwstr>_Toc526926657</vt:lpwstr>
      </vt:variant>
      <vt:variant>
        <vt:i4>2031671</vt:i4>
      </vt:variant>
      <vt:variant>
        <vt:i4>14</vt:i4>
      </vt:variant>
      <vt:variant>
        <vt:i4>0</vt:i4>
      </vt:variant>
      <vt:variant>
        <vt:i4>5</vt:i4>
      </vt:variant>
      <vt:variant>
        <vt:lpwstr/>
      </vt:variant>
      <vt:variant>
        <vt:lpwstr>_Toc526926656</vt:lpwstr>
      </vt:variant>
      <vt:variant>
        <vt:i4>2031671</vt:i4>
      </vt:variant>
      <vt:variant>
        <vt:i4>8</vt:i4>
      </vt:variant>
      <vt:variant>
        <vt:i4>0</vt:i4>
      </vt:variant>
      <vt:variant>
        <vt:i4>5</vt:i4>
      </vt:variant>
      <vt:variant>
        <vt:lpwstr/>
      </vt:variant>
      <vt:variant>
        <vt:lpwstr>_Toc526926655</vt:lpwstr>
      </vt:variant>
      <vt:variant>
        <vt:i4>65633</vt:i4>
      </vt:variant>
      <vt:variant>
        <vt:i4>3</vt:i4>
      </vt:variant>
      <vt:variant>
        <vt:i4>0</vt:i4>
      </vt:variant>
      <vt:variant>
        <vt:i4>5</vt:i4>
      </vt:variant>
      <vt:variant>
        <vt:lpwstr>mailto:enquiry@melbournewater.com.au</vt:lpwstr>
      </vt:variant>
      <vt:variant>
        <vt:lpwstr/>
      </vt:variant>
      <vt:variant>
        <vt:i4>4980818</vt:i4>
      </vt:variant>
      <vt:variant>
        <vt:i4>0</vt:i4>
      </vt:variant>
      <vt:variant>
        <vt:i4>0</vt:i4>
      </vt:variant>
      <vt:variant>
        <vt:i4>5</vt:i4>
      </vt:variant>
      <vt:variant>
        <vt:lpwstr>http://www.melbournewater.com.au/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Price Submission 2021 at a glance</dc:title>
  <dc:subject/>
  <dc:creator/>
  <cp:keywords/>
  <dc:description/>
  <cp:lastModifiedBy/>
  <cp:revision>1</cp:revision>
  <dcterms:created xsi:type="dcterms:W3CDTF">2020-06-26T07:28:00Z</dcterms:created>
  <dcterms:modified xsi:type="dcterms:W3CDTF">2020-11-10T02:10:00Z</dcterms:modified>
</cp:coreProperties>
</file>